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0A" w:rsidRDefault="008A620A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4445</wp:posOffset>
            </wp:positionV>
            <wp:extent cx="2341880" cy="678180"/>
            <wp:effectExtent l="0" t="0" r="1270" b="7620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20A" w:rsidRDefault="008A620A">
      <w:pPr>
        <w:rPr>
          <w:noProof/>
          <w:lang w:eastAsia="en-AU"/>
        </w:rPr>
      </w:pPr>
    </w:p>
    <w:p w:rsidR="0093040F" w:rsidRDefault="0093040F" w:rsidP="00A73792"/>
    <w:p w:rsidR="008A620A" w:rsidRPr="007767B5" w:rsidRDefault="009846CD" w:rsidP="0093040F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Recordkeeping Policy </w:t>
      </w:r>
    </w:p>
    <w:p w:rsidR="00FF057A" w:rsidRDefault="00A73792" w:rsidP="00FF057A">
      <w:pPr>
        <w:pStyle w:val="Heading2"/>
      </w:pPr>
      <w:r>
        <w:t>Purpose</w:t>
      </w:r>
    </w:p>
    <w:p w:rsidR="00557498" w:rsidRDefault="00557498" w:rsidP="00557498">
      <w:r>
        <w:t>The purpose of this</w:t>
      </w:r>
      <w:r w:rsidR="00210E0E" w:rsidRPr="00A905EF">
        <w:t xml:space="preserve"> policy </w:t>
      </w:r>
      <w:r>
        <w:t xml:space="preserve">is </w:t>
      </w:r>
      <w:r w:rsidR="00210E0E" w:rsidRPr="00A905EF">
        <w:t>to ensure</w:t>
      </w:r>
      <w:r>
        <w:t xml:space="preserve"> all Committee of Management and volunteers representing Water East Timor (</w:t>
      </w:r>
      <w:proofErr w:type="spellStart"/>
      <w:r>
        <w:t>Inc</w:t>
      </w:r>
      <w:proofErr w:type="spellEnd"/>
      <w:r>
        <w:t>) (WET)</w:t>
      </w:r>
      <w:r w:rsidRPr="00A905EF">
        <w:t xml:space="preserve"> are aware of their recordkeeping responsibilities.</w:t>
      </w:r>
      <w:r>
        <w:t xml:space="preserve"> It will also ensure:</w:t>
      </w:r>
    </w:p>
    <w:p w:rsidR="00210E0E" w:rsidRPr="00A905EF" w:rsidRDefault="00210E0E" w:rsidP="00557498">
      <w:pPr>
        <w:pStyle w:val="BodyBullet"/>
      </w:pPr>
      <w:r>
        <w:t xml:space="preserve">accountability and </w:t>
      </w:r>
      <w:r w:rsidR="00557498">
        <w:t>efficiency</w:t>
      </w:r>
    </w:p>
    <w:p w:rsidR="00210E0E" w:rsidRPr="00A612B5" w:rsidRDefault="00210E0E" w:rsidP="00557498">
      <w:pPr>
        <w:pStyle w:val="BodyBullet"/>
      </w:pPr>
      <w:r>
        <w:t>compliance with both ACNC Governance standards and External Conduct Standards and those of other statutory agencies</w:t>
      </w:r>
    </w:p>
    <w:p w:rsidR="00210E0E" w:rsidRPr="00A905EF" w:rsidRDefault="00210E0E" w:rsidP="00557498">
      <w:pPr>
        <w:pStyle w:val="BodyBullet"/>
      </w:pPr>
      <w:proofErr w:type="gramStart"/>
      <w:r w:rsidRPr="00A905EF">
        <w:t>consistent</w:t>
      </w:r>
      <w:proofErr w:type="gramEnd"/>
      <w:r w:rsidRPr="00A905EF">
        <w:t xml:space="preserve"> application of the principles within </w:t>
      </w:r>
      <w:r>
        <w:t>ACNC Governance</w:t>
      </w:r>
      <w:r w:rsidR="00557498">
        <w:t xml:space="preserve"> and External Conduct Standards. </w:t>
      </w:r>
    </w:p>
    <w:p w:rsidR="00A73792" w:rsidRDefault="00A73792" w:rsidP="00A73792">
      <w:pPr>
        <w:pStyle w:val="Heading2"/>
      </w:pPr>
      <w:r>
        <w:t>Introduction</w:t>
      </w:r>
    </w:p>
    <w:p w:rsidR="00210E0E" w:rsidRPr="00210E0E" w:rsidRDefault="00210E0E" w:rsidP="00210E0E">
      <w:r w:rsidRPr="00A905EF">
        <w:t>U</w:t>
      </w:r>
      <w:r>
        <w:t xml:space="preserve">nder the CONSUMER AFFAIRS VICTORIA Associations Incorporation Reform Act 2012, WET </w:t>
      </w:r>
      <w:r w:rsidRPr="00A905EF">
        <w:t xml:space="preserve">is </w:t>
      </w:r>
      <w:proofErr w:type="gramStart"/>
      <w:r w:rsidRPr="00A905EF">
        <w:t>required</w:t>
      </w:r>
      <w:proofErr w:type="gramEnd"/>
      <w:r w:rsidRPr="00A905EF">
        <w:t xml:space="preserve"> to make and keep full and accurate records of its activities. Full and </w:t>
      </w:r>
      <w:r>
        <w:t>accurate</w:t>
      </w:r>
      <w:r w:rsidRPr="00A905EF">
        <w:t xml:space="preserve"> records are those records that provide reliable, complete and authentic evidence of</w:t>
      </w:r>
      <w:r w:rsidRPr="008C5DA0">
        <w:t xml:space="preserve"> </w:t>
      </w:r>
      <w:r>
        <w:t>WET’s</w:t>
      </w:r>
      <w:r w:rsidRPr="008C5DA0">
        <w:t xml:space="preserve"> </w:t>
      </w:r>
      <w:r w:rsidRPr="00A905EF">
        <w:t>activities and decisions.</w:t>
      </w:r>
    </w:p>
    <w:p w:rsidR="00FF057A" w:rsidRDefault="00FF057A" w:rsidP="001A3B5C">
      <w:pPr>
        <w:pStyle w:val="Heading2"/>
        <w:spacing w:before="240"/>
      </w:pPr>
      <w:r w:rsidRPr="001A3B5C">
        <w:t>Scope</w:t>
      </w:r>
      <w:r w:rsidRPr="0093040F">
        <w:t xml:space="preserve"> </w:t>
      </w:r>
    </w:p>
    <w:p w:rsidR="009846CD" w:rsidRPr="009846CD" w:rsidRDefault="009846CD" w:rsidP="009846CD">
      <w:r>
        <w:t>This policy applies to Committee of Management members and volunteers representing WET.</w:t>
      </w:r>
    </w:p>
    <w:p w:rsidR="0093040F" w:rsidRDefault="00FF057A" w:rsidP="00FF057A">
      <w:pPr>
        <w:pStyle w:val="Heading2"/>
      </w:pPr>
      <w:r w:rsidRPr="0093040F">
        <w:t>Definition</w:t>
      </w:r>
    </w:p>
    <w:p w:rsidR="00557498" w:rsidRDefault="00557498" w:rsidP="00557498">
      <w:r w:rsidRPr="00A905EF">
        <w:t>For the purp</w:t>
      </w:r>
      <w:r>
        <w:t xml:space="preserve">ose of this policy, a </w:t>
      </w:r>
      <w:r w:rsidRPr="009846CD">
        <w:rPr>
          <w:rStyle w:val="Emphasis"/>
        </w:rPr>
        <w:t>record</w:t>
      </w:r>
      <w:r>
        <w:t xml:space="preserve"> is any document, however compiled, recorded or stored that relates to the incorporation and management of WET and includes: </w:t>
      </w:r>
    </w:p>
    <w:p w:rsidR="00557498" w:rsidRDefault="00557498" w:rsidP="00557498">
      <w:pPr>
        <w:pStyle w:val="BodyBullet"/>
      </w:pPr>
      <w:r>
        <w:t xml:space="preserve">Governance documents such as the WET Constitution, reports to statutory bodies such as the Australian Charities Not-for-profit Corporation (ACNC), Victorian Consumer Affairs, Australian Tax Office </w:t>
      </w:r>
    </w:p>
    <w:p w:rsidR="00557498" w:rsidRDefault="00557498" w:rsidP="00557498">
      <w:pPr>
        <w:pStyle w:val="BodyBullet"/>
      </w:pPr>
      <w:r>
        <w:t xml:space="preserve">Membership records of WET </w:t>
      </w:r>
    </w:p>
    <w:p w:rsidR="00557498" w:rsidRDefault="00557498" w:rsidP="00557498">
      <w:pPr>
        <w:pStyle w:val="BodyBullet"/>
      </w:pPr>
      <w:r>
        <w:t>Financial records</w:t>
      </w:r>
    </w:p>
    <w:p w:rsidR="00557498" w:rsidRDefault="00557498" w:rsidP="00557498">
      <w:pPr>
        <w:pStyle w:val="BodyBullet"/>
      </w:pPr>
      <w:r>
        <w:t>Operational records and documents relating to minutes of meetings, transactions, dealings, or property of WET</w:t>
      </w:r>
    </w:p>
    <w:p w:rsidR="00557498" w:rsidRDefault="00557498" w:rsidP="00557498">
      <w:pPr>
        <w:pStyle w:val="BodyBullet"/>
      </w:pPr>
      <w:r>
        <w:t>WET policies and procedures</w:t>
      </w:r>
    </w:p>
    <w:p w:rsidR="00557498" w:rsidRDefault="00557498" w:rsidP="00557498">
      <w:pPr>
        <w:pStyle w:val="BodyBullet"/>
      </w:pPr>
      <w:r>
        <w:t>WET project documents.</w:t>
      </w:r>
    </w:p>
    <w:p w:rsidR="00557498" w:rsidRDefault="00557498" w:rsidP="00557498">
      <w:pPr>
        <w:pStyle w:val="Heading2"/>
      </w:pPr>
      <w:r>
        <w:t xml:space="preserve">Policy statement </w:t>
      </w:r>
    </w:p>
    <w:p w:rsidR="00557498" w:rsidRPr="00A905EF" w:rsidRDefault="00557498" w:rsidP="00557498">
      <w:r>
        <w:t xml:space="preserve">WET </w:t>
      </w:r>
      <w:r w:rsidRPr="00A905EF">
        <w:t>is committed to meeting its record</w:t>
      </w:r>
      <w:r>
        <w:t>keeping</w:t>
      </w:r>
      <w:r w:rsidRPr="00A905EF">
        <w:t xml:space="preserve"> obligations to </w:t>
      </w:r>
      <w:r>
        <w:t xml:space="preserve">create </w:t>
      </w:r>
      <w:r w:rsidRPr="00A905EF">
        <w:t>and keep full and accurate records.</w:t>
      </w:r>
    </w:p>
    <w:p w:rsidR="00557498" w:rsidRPr="00557498" w:rsidRDefault="00557498" w:rsidP="00557498">
      <w:r>
        <w:t xml:space="preserve">WET </w:t>
      </w:r>
      <w:r w:rsidRPr="00A905EF">
        <w:t>will implement appropriate strategies, processes, applications and tools to ensure records of</w:t>
      </w:r>
      <w:r>
        <w:t xml:space="preserve"> its charity </w:t>
      </w:r>
      <w:r w:rsidRPr="00A905EF">
        <w:t xml:space="preserve">activities are </w:t>
      </w:r>
      <w:r>
        <w:t>created</w:t>
      </w:r>
      <w:r w:rsidRPr="00A905EF">
        <w:t xml:space="preserve"> and kept.</w:t>
      </w:r>
    </w:p>
    <w:p w:rsidR="00210E0E" w:rsidRDefault="00210E0E" w:rsidP="005C02BB">
      <w:pPr>
        <w:pStyle w:val="Heading2"/>
      </w:pPr>
      <w:r>
        <w:t xml:space="preserve">Principles </w:t>
      </w:r>
    </w:p>
    <w:p w:rsidR="00210E0E" w:rsidRPr="00A905EF" w:rsidRDefault="00210E0E" w:rsidP="00557498">
      <w:r w:rsidRPr="00A905EF">
        <w:t xml:space="preserve">Full and accurate records must be created and maintained for as long as required for legislative, </w:t>
      </w:r>
      <w:r>
        <w:t xml:space="preserve">charity </w:t>
      </w:r>
      <w:r w:rsidRPr="00A905EF">
        <w:t>and accountability purposes.</w:t>
      </w:r>
    </w:p>
    <w:p w:rsidR="00210E0E" w:rsidRPr="00A905EF" w:rsidRDefault="00210E0E" w:rsidP="00557498">
      <w:pPr>
        <w:pStyle w:val="BodyBullet"/>
      </w:pPr>
      <w:r w:rsidRPr="00A905EF">
        <w:t xml:space="preserve">Records must be captured </w:t>
      </w:r>
      <w:r>
        <w:t>using appropriate technology</w:t>
      </w:r>
    </w:p>
    <w:p w:rsidR="00557498" w:rsidRDefault="00210E0E" w:rsidP="00557498">
      <w:pPr>
        <w:pStyle w:val="BodyBullet"/>
      </w:pPr>
      <w:r w:rsidRPr="00A905EF">
        <w:lastRenderedPageBreak/>
        <w:t xml:space="preserve">Records must only be disposed of </w:t>
      </w:r>
      <w:r>
        <w:t>with authorisation from the C</w:t>
      </w:r>
      <w:r w:rsidR="00557498">
        <w:t xml:space="preserve">ommittee of Management </w:t>
      </w:r>
    </w:p>
    <w:p w:rsidR="00210E0E" w:rsidRDefault="00557498" w:rsidP="00210E0E">
      <w:pPr>
        <w:pStyle w:val="BodyBullet"/>
      </w:pPr>
      <w:r>
        <w:t xml:space="preserve">All records will be retained for the period required by legislation. </w:t>
      </w:r>
    </w:p>
    <w:p w:rsidR="00210E0E" w:rsidRDefault="00210E0E" w:rsidP="005C02BB">
      <w:pPr>
        <w:pStyle w:val="Heading2"/>
      </w:pPr>
      <w:r>
        <w:t xml:space="preserve">Roles and responsibilities </w:t>
      </w:r>
    </w:p>
    <w:p w:rsidR="00210E0E" w:rsidRPr="0000565D" w:rsidRDefault="00210E0E" w:rsidP="00210E0E">
      <w:r w:rsidRPr="0000565D">
        <w:t>The President</w:t>
      </w:r>
      <w:r>
        <w:t xml:space="preserve"> will:</w:t>
      </w:r>
    </w:p>
    <w:p w:rsidR="00210E0E" w:rsidRDefault="00210E0E" w:rsidP="00210E0E">
      <w:pPr>
        <w:pStyle w:val="BodyBullet"/>
      </w:pPr>
      <w:r>
        <w:t>Ensure WET</w:t>
      </w:r>
      <w:r w:rsidRPr="00A905EF">
        <w:t xml:space="preserve"> makes and keeps full and</w:t>
      </w:r>
      <w:r>
        <w:t xml:space="preserve"> accurate records of its charity activities.</w:t>
      </w:r>
    </w:p>
    <w:p w:rsidR="00210E0E" w:rsidRPr="0000565D" w:rsidRDefault="00210E0E" w:rsidP="00210E0E">
      <w:r w:rsidRPr="0000565D">
        <w:t>The Secretary</w:t>
      </w:r>
      <w:r>
        <w:t xml:space="preserve"> will:</w:t>
      </w:r>
    </w:p>
    <w:p w:rsidR="00210E0E" w:rsidRPr="00A905EF" w:rsidRDefault="00210E0E" w:rsidP="00210E0E">
      <w:pPr>
        <w:pStyle w:val="BodyBullet"/>
      </w:pPr>
      <w:r>
        <w:t>M</w:t>
      </w:r>
      <w:r w:rsidRPr="00A905EF">
        <w:t>anag</w:t>
      </w:r>
      <w:r>
        <w:t>e</w:t>
      </w:r>
      <w:r w:rsidRPr="00A905EF">
        <w:t xml:space="preserve"> recordkeeping activities to ensure compliance with legislative</w:t>
      </w:r>
      <w:r>
        <w:t xml:space="preserve"> and best practice requirements</w:t>
      </w:r>
    </w:p>
    <w:p w:rsidR="00210E0E" w:rsidRDefault="00210E0E" w:rsidP="00210E0E">
      <w:pPr>
        <w:pStyle w:val="BodyBullet"/>
      </w:pPr>
      <w:r>
        <w:t>Maintain the register of members</w:t>
      </w:r>
    </w:p>
    <w:p w:rsidR="00210E0E" w:rsidRPr="00210E0E" w:rsidRDefault="00210E0E" w:rsidP="00210E0E">
      <w:pPr>
        <w:pStyle w:val="BodyBullet"/>
        <w:rPr>
          <w:strike/>
        </w:rPr>
      </w:pPr>
      <w:r w:rsidRPr="00F46E3B">
        <w:t xml:space="preserve">Keep custody of all </w:t>
      </w:r>
      <w:r>
        <w:t>records,</w:t>
      </w:r>
      <w:r w:rsidRPr="00210E0E">
        <w:t xml:space="preserve"> </w:t>
      </w:r>
      <w:r>
        <w:t>except for financial records</w:t>
      </w:r>
    </w:p>
    <w:p w:rsidR="00210E0E" w:rsidRPr="00210E0E" w:rsidRDefault="00210E0E" w:rsidP="00210E0E">
      <w:pPr>
        <w:pStyle w:val="BodyBullet"/>
        <w:rPr>
          <w:strike/>
        </w:rPr>
      </w:pPr>
      <w:r>
        <w:t>Store records securely in a way that can be accessed in the future</w:t>
      </w:r>
    </w:p>
    <w:p w:rsidR="00210E0E" w:rsidRDefault="00210E0E" w:rsidP="00210E0E">
      <w:pPr>
        <w:pStyle w:val="BodyBullet"/>
      </w:pPr>
      <w:r>
        <w:t>Create back up versions of all records</w:t>
      </w:r>
    </w:p>
    <w:p w:rsidR="00210E0E" w:rsidRDefault="00210E0E" w:rsidP="00210E0E">
      <w:pPr>
        <w:pStyle w:val="BodyBullet"/>
      </w:pPr>
      <w:r>
        <w:t>S</w:t>
      </w:r>
      <w:r w:rsidRPr="00A905EF">
        <w:t>ecur</w:t>
      </w:r>
      <w:r>
        <w:t>e</w:t>
      </w:r>
      <w:r w:rsidRPr="00A905EF">
        <w:t xml:space="preserve"> </w:t>
      </w:r>
      <w:r>
        <w:t xml:space="preserve">sensitive </w:t>
      </w:r>
      <w:r w:rsidRPr="00A905EF">
        <w:t>records from unauthorised access</w:t>
      </w:r>
      <w:r>
        <w:t>.</w:t>
      </w:r>
    </w:p>
    <w:p w:rsidR="00210E0E" w:rsidRPr="00912AC6" w:rsidRDefault="00210E0E" w:rsidP="00210E0E">
      <w:r w:rsidRPr="00912AC6">
        <w:t xml:space="preserve">COM </w:t>
      </w:r>
      <w:r>
        <w:t>members will</w:t>
      </w:r>
      <w:r w:rsidRPr="00912AC6">
        <w:t>:</w:t>
      </w:r>
    </w:p>
    <w:p w:rsidR="00210E0E" w:rsidRDefault="00210E0E" w:rsidP="00210E0E">
      <w:pPr>
        <w:pStyle w:val="BodyBullet"/>
      </w:pPr>
      <w:r>
        <w:t>C</w:t>
      </w:r>
      <w:r w:rsidRPr="00A905EF">
        <w:t>re</w:t>
      </w:r>
      <w:r>
        <w:t xml:space="preserve">ate and store records of key </w:t>
      </w:r>
      <w:r w:rsidRPr="00A905EF">
        <w:t>activities</w:t>
      </w:r>
    </w:p>
    <w:p w:rsidR="00210E0E" w:rsidRPr="00A905EF" w:rsidRDefault="00210E0E" w:rsidP="00210E0E">
      <w:pPr>
        <w:pStyle w:val="BodyBullet"/>
      </w:pPr>
      <w:r>
        <w:t>Ensure durable records are passed to the Secretary for retention</w:t>
      </w:r>
    </w:p>
    <w:p w:rsidR="00210E0E" w:rsidRPr="00210E0E" w:rsidRDefault="00210E0E" w:rsidP="00210E0E">
      <w:pPr>
        <w:pStyle w:val="BodyBullet"/>
      </w:pPr>
      <w:r>
        <w:t>Monitor compliance with recordkeeping requirements under this policy</w:t>
      </w:r>
    </w:p>
    <w:p w:rsidR="005C02BB" w:rsidRPr="006932DE" w:rsidRDefault="005C02BB" w:rsidP="005C02BB">
      <w:pPr>
        <w:pStyle w:val="Heading2"/>
      </w:pPr>
      <w:r w:rsidRPr="006932DE">
        <w:t xml:space="preserve">Breaches of this </w:t>
      </w:r>
      <w:r w:rsidR="006932DE" w:rsidRPr="006932DE">
        <w:t>policy</w:t>
      </w:r>
      <w:r w:rsidRPr="006932DE">
        <w:t xml:space="preserve"> </w:t>
      </w:r>
    </w:p>
    <w:p w:rsidR="005C02BB" w:rsidRPr="006932DE" w:rsidRDefault="00210E0E" w:rsidP="005C02BB">
      <w:r>
        <w:t xml:space="preserve">Breaches of this policy will be referred to the Committee of Management for appropriate action. </w:t>
      </w:r>
      <w:r w:rsidR="005C02BB" w:rsidRPr="006932DE">
        <w:t xml:space="preserve"> </w:t>
      </w:r>
    </w:p>
    <w:p w:rsidR="005C02BB" w:rsidRPr="0042153C" w:rsidRDefault="005C02BB" w:rsidP="005C02BB">
      <w:pPr>
        <w:pStyle w:val="Heading2"/>
      </w:pPr>
      <w:r w:rsidRPr="0042153C">
        <w:t>Communication</w:t>
      </w:r>
    </w:p>
    <w:p w:rsidR="005C02BB" w:rsidRDefault="005C02BB" w:rsidP="005C02BB">
      <w:r w:rsidRPr="0042153C">
        <w:t xml:space="preserve">This </w:t>
      </w:r>
      <w:r w:rsidR="0042153C" w:rsidRPr="0042153C">
        <w:t>policy will be communicated to</w:t>
      </w:r>
      <w:r w:rsidR="00210E0E">
        <w:t xml:space="preserve"> all members of the Committee of Management and</w:t>
      </w:r>
      <w:r w:rsidR="0042153C" w:rsidRPr="0042153C">
        <w:t xml:space="preserve"> any WET Australia-based project Team Leader, and Timor-Leste based Team Leader. </w:t>
      </w:r>
    </w:p>
    <w:p w:rsidR="00D46685" w:rsidRPr="0042153C" w:rsidRDefault="00D46685" w:rsidP="005C0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A3C03" w:rsidRPr="004918A8" w:rsidTr="0093040F">
        <w:tc>
          <w:tcPr>
            <w:tcW w:w="4815" w:type="dxa"/>
          </w:tcPr>
          <w:p w:rsidR="008A3C03" w:rsidRPr="0058347B" w:rsidRDefault="008A3C03" w:rsidP="007C71C5">
            <w:pPr>
              <w:spacing w:before="80" w:after="80"/>
              <w:rPr>
                <w:b/>
                <w:sz w:val="20"/>
                <w:szCs w:val="20"/>
              </w:rPr>
            </w:pPr>
            <w:r w:rsidRPr="0058347B">
              <w:rPr>
                <w:b/>
                <w:sz w:val="20"/>
                <w:szCs w:val="20"/>
              </w:rPr>
              <w:t xml:space="preserve">Version number </w:t>
            </w:r>
          </w:p>
        </w:tc>
        <w:tc>
          <w:tcPr>
            <w:tcW w:w="4201" w:type="dxa"/>
          </w:tcPr>
          <w:p w:rsidR="008A3C03" w:rsidRPr="006932DE" w:rsidRDefault="008A3C03" w:rsidP="007C71C5">
            <w:pPr>
              <w:spacing w:before="80" w:after="80"/>
              <w:rPr>
                <w:sz w:val="20"/>
                <w:szCs w:val="20"/>
              </w:rPr>
            </w:pPr>
            <w:r w:rsidRPr="006932DE">
              <w:rPr>
                <w:sz w:val="20"/>
                <w:szCs w:val="20"/>
              </w:rPr>
              <w:t>1</w:t>
            </w:r>
          </w:p>
        </w:tc>
      </w:tr>
      <w:tr w:rsidR="007C71C5" w:rsidRPr="004918A8" w:rsidTr="0093040F">
        <w:tc>
          <w:tcPr>
            <w:tcW w:w="4815" w:type="dxa"/>
          </w:tcPr>
          <w:p w:rsidR="007C71C5" w:rsidRPr="0058347B" w:rsidRDefault="008A3C03" w:rsidP="007C71C5">
            <w:pPr>
              <w:spacing w:before="80" w:after="80"/>
              <w:rPr>
                <w:b/>
                <w:sz w:val="20"/>
                <w:szCs w:val="20"/>
              </w:rPr>
            </w:pPr>
            <w:r w:rsidRPr="0058347B">
              <w:rPr>
                <w:b/>
                <w:sz w:val="20"/>
                <w:szCs w:val="20"/>
              </w:rPr>
              <w:t>Date approved by the WET Committee of Management</w:t>
            </w:r>
          </w:p>
        </w:tc>
        <w:tc>
          <w:tcPr>
            <w:tcW w:w="4201" w:type="dxa"/>
          </w:tcPr>
          <w:p w:rsidR="007C71C5" w:rsidRPr="006932DE" w:rsidRDefault="00687DD4" w:rsidP="007C71C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April 2021</w:t>
            </w:r>
          </w:p>
        </w:tc>
      </w:tr>
      <w:tr w:rsidR="007C71C5" w:rsidRPr="004918A8" w:rsidTr="0093040F">
        <w:tc>
          <w:tcPr>
            <w:tcW w:w="4815" w:type="dxa"/>
          </w:tcPr>
          <w:p w:rsidR="007C71C5" w:rsidRPr="0058347B" w:rsidRDefault="008A3C03" w:rsidP="007C71C5">
            <w:pPr>
              <w:spacing w:before="80" w:after="80"/>
              <w:rPr>
                <w:b/>
                <w:sz w:val="20"/>
                <w:szCs w:val="20"/>
              </w:rPr>
            </w:pPr>
            <w:r w:rsidRPr="0058347B">
              <w:rPr>
                <w:b/>
                <w:sz w:val="20"/>
                <w:szCs w:val="20"/>
              </w:rPr>
              <w:t xml:space="preserve">Date of next review </w:t>
            </w:r>
          </w:p>
        </w:tc>
        <w:tc>
          <w:tcPr>
            <w:tcW w:w="4201" w:type="dxa"/>
          </w:tcPr>
          <w:p w:rsidR="007C71C5" w:rsidRPr="006932DE" w:rsidRDefault="00687DD4" w:rsidP="007C71C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2023</w:t>
            </w:r>
          </w:p>
        </w:tc>
      </w:tr>
      <w:tr w:rsidR="006932DE" w:rsidRPr="007C71C5" w:rsidTr="00FF4C0D">
        <w:tc>
          <w:tcPr>
            <w:tcW w:w="9016" w:type="dxa"/>
            <w:gridSpan w:val="2"/>
          </w:tcPr>
          <w:p w:rsidR="006932DE" w:rsidRPr="0058347B" w:rsidRDefault="006932DE" w:rsidP="006932DE">
            <w:pPr>
              <w:spacing w:before="80" w:after="80"/>
              <w:rPr>
                <w:b/>
                <w:sz w:val="20"/>
                <w:szCs w:val="20"/>
              </w:rPr>
            </w:pPr>
            <w:r w:rsidRPr="0058347B">
              <w:rPr>
                <w:b/>
                <w:sz w:val="20"/>
                <w:szCs w:val="20"/>
              </w:rPr>
              <w:t xml:space="preserve">Related policies and documents: </w:t>
            </w:r>
            <w:bookmarkStart w:id="0" w:name="_GoBack"/>
            <w:bookmarkEnd w:id="0"/>
          </w:p>
          <w:p w:rsidR="009D7D4C" w:rsidRDefault="00210E0E" w:rsidP="00210E0E">
            <w:r>
              <w:t>CONSUMER AFFAIRS VICTORIA Associations Incorporation Reform Act 2012</w:t>
            </w:r>
          </w:p>
          <w:p w:rsidR="00210E0E" w:rsidRPr="00E63752" w:rsidRDefault="00210E0E" w:rsidP="00210E0E"/>
        </w:tc>
      </w:tr>
    </w:tbl>
    <w:p w:rsidR="0093040F" w:rsidRPr="0042153C" w:rsidRDefault="0093040F" w:rsidP="0042153C">
      <w:pPr>
        <w:ind w:left="360"/>
      </w:pPr>
    </w:p>
    <w:p w:rsidR="0093040F" w:rsidRPr="005C02BB" w:rsidRDefault="0093040F" w:rsidP="00A75FEA">
      <w:pPr>
        <w:pStyle w:val="ListParagraph"/>
        <w:ind w:left="360"/>
      </w:pPr>
    </w:p>
    <w:sectPr w:rsidR="0093040F" w:rsidRPr="005C02BB" w:rsidSect="00796861">
      <w:headerReference w:type="default" r:id="rId9"/>
      <w:footerReference w:type="default" r:id="rId10"/>
      <w:pgSz w:w="11906" w:h="16838"/>
      <w:pgMar w:top="709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2C" w:rsidRDefault="00F36C2C" w:rsidP="009A5DCC">
      <w:pPr>
        <w:spacing w:after="0"/>
      </w:pPr>
      <w:r>
        <w:separator/>
      </w:r>
    </w:p>
  </w:endnote>
  <w:endnote w:type="continuationSeparator" w:id="0">
    <w:p w:rsidR="00F36C2C" w:rsidRDefault="00F36C2C" w:rsidP="009A5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CC" w:rsidRDefault="009A5DCC" w:rsidP="009A5DCC">
    <w:pPr>
      <w:pStyle w:val="Footer"/>
      <w:pBdr>
        <w:top w:val="single" w:sz="4" w:space="1" w:color="auto"/>
      </w:pBdr>
    </w:pPr>
  </w:p>
  <w:p w:rsidR="009A5DCC" w:rsidRPr="00796861" w:rsidRDefault="009A5DCC" w:rsidP="009A5DCC">
    <w:pPr>
      <w:pStyle w:val="Footer"/>
      <w:pBdr>
        <w:top w:val="single" w:sz="4" w:space="1" w:color="auto"/>
      </w:pBdr>
      <w:rPr>
        <w:sz w:val="18"/>
        <w:szCs w:val="18"/>
      </w:rPr>
    </w:pPr>
    <w:r w:rsidRPr="00796861">
      <w:rPr>
        <w:sz w:val="18"/>
        <w:szCs w:val="18"/>
      </w:rPr>
      <w:t>Water East Timor</w:t>
    </w:r>
    <w:r w:rsidR="00796861">
      <w:rPr>
        <w:sz w:val="18"/>
        <w:szCs w:val="18"/>
      </w:rPr>
      <w:t xml:space="preserve"> </w:t>
    </w:r>
    <w:proofErr w:type="spellStart"/>
    <w:r w:rsidR="00796861">
      <w:rPr>
        <w:sz w:val="18"/>
        <w:szCs w:val="18"/>
      </w:rPr>
      <w:t>Inc</w:t>
    </w:r>
    <w:proofErr w:type="spellEnd"/>
    <w:r w:rsidRPr="00796861">
      <w:rPr>
        <w:sz w:val="18"/>
        <w:szCs w:val="18"/>
      </w:rPr>
      <w:t xml:space="preserve"> – </w:t>
    </w:r>
    <w:r w:rsidR="00557498">
      <w:rPr>
        <w:sz w:val="18"/>
        <w:szCs w:val="18"/>
      </w:rPr>
      <w:t>Recordkeeping Policy</w:t>
    </w:r>
    <w:r w:rsidRPr="00796861">
      <w:rPr>
        <w:sz w:val="18"/>
        <w:szCs w:val="18"/>
      </w:rPr>
      <w:t xml:space="preserve">, </w:t>
    </w:r>
    <w:r w:rsidR="003D4154">
      <w:rPr>
        <w:sz w:val="18"/>
        <w:szCs w:val="18"/>
      </w:rPr>
      <w:t>April 2021</w:t>
    </w:r>
    <w:r w:rsidR="003D4154">
      <w:rPr>
        <w:sz w:val="18"/>
        <w:szCs w:val="18"/>
      </w:rPr>
      <w:tab/>
    </w:r>
    <w:r w:rsidRPr="00796861">
      <w:rPr>
        <w:sz w:val="18"/>
        <w:szCs w:val="18"/>
      </w:rPr>
      <w:tab/>
    </w:r>
    <w:r w:rsidR="00796861" w:rsidRPr="00796861">
      <w:rPr>
        <w:sz w:val="18"/>
        <w:szCs w:val="18"/>
      </w:rPr>
      <w:fldChar w:fldCharType="begin"/>
    </w:r>
    <w:r w:rsidR="00796861" w:rsidRPr="00796861">
      <w:rPr>
        <w:sz w:val="18"/>
        <w:szCs w:val="18"/>
      </w:rPr>
      <w:instrText xml:space="preserve"> PAGE   \* MERGEFORMAT </w:instrText>
    </w:r>
    <w:r w:rsidR="00796861" w:rsidRPr="00796861">
      <w:rPr>
        <w:sz w:val="18"/>
        <w:szCs w:val="18"/>
      </w:rPr>
      <w:fldChar w:fldCharType="separate"/>
    </w:r>
    <w:r w:rsidR="00687DD4" w:rsidRPr="00687DD4">
      <w:rPr>
        <w:b/>
        <w:bCs/>
        <w:noProof/>
        <w:sz w:val="18"/>
        <w:szCs w:val="18"/>
      </w:rPr>
      <w:t>2</w:t>
    </w:r>
    <w:r w:rsidR="00796861" w:rsidRPr="00796861">
      <w:rPr>
        <w:b/>
        <w:bCs/>
        <w:noProof/>
        <w:sz w:val="18"/>
        <w:szCs w:val="18"/>
      </w:rPr>
      <w:fldChar w:fldCharType="end"/>
    </w:r>
    <w:r w:rsidR="00796861" w:rsidRPr="00796861">
      <w:rPr>
        <w:b/>
        <w:bCs/>
        <w:sz w:val="18"/>
        <w:szCs w:val="18"/>
      </w:rPr>
      <w:t xml:space="preserve"> </w:t>
    </w:r>
    <w:r w:rsidR="00796861" w:rsidRPr="00796861">
      <w:rPr>
        <w:sz w:val="18"/>
        <w:szCs w:val="18"/>
      </w:rPr>
      <w:t>|</w:t>
    </w:r>
    <w:r w:rsidR="00796861" w:rsidRPr="00796861">
      <w:rPr>
        <w:b/>
        <w:bCs/>
        <w:sz w:val="18"/>
        <w:szCs w:val="18"/>
      </w:rPr>
      <w:t xml:space="preserve"> </w:t>
    </w:r>
    <w:r w:rsidR="00796861" w:rsidRPr="00796861">
      <w:rPr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2C" w:rsidRDefault="00F36C2C" w:rsidP="009A5DCC">
      <w:pPr>
        <w:spacing w:after="0"/>
      </w:pPr>
      <w:r>
        <w:separator/>
      </w:r>
    </w:p>
  </w:footnote>
  <w:footnote w:type="continuationSeparator" w:id="0">
    <w:p w:rsidR="00F36C2C" w:rsidRDefault="00F36C2C" w:rsidP="009A5D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A" w:rsidRDefault="00A2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.35pt;height:9.8pt" o:bullet="t">
        <v:imagedata r:id="rId1" o:title="Bullet point"/>
      </v:shape>
    </w:pict>
  </w:numPicBullet>
  <w:abstractNum w:abstractNumId="0" w15:restartNumberingAfterBreak="0">
    <w:nsid w:val="0133431C"/>
    <w:multiLevelType w:val="hybridMultilevel"/>
    <w:tmpl w:val="2C1234CA"/>
    <w:lvl w:ilvl="0" w:tplc="9438A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445"/>
    <w:multiLevelType w:val="hybridMultilevel"/>
    <w:tmpl w:val="C192A01A"/>
    <w:lvl w:ilvl="0" w:tplc="A30EC9B2">
      <w:start w:val="1"/>
      <w:numFmt w:val="bullet"/>
      <w:pStyle w:val="BodyBullet"/>
      <w:lvlText w:val="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4853"/>
    <w:multiLevelType w:val="hybridMultilevel"/>
    <w:tmpl w:val="738AD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A79D2"/>
    <w:multiLevelType w:val="hybridMultilevel"/>
    <w:tmpl w:val="738AD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15DA7"/>
    <w:multiLevelType w:val="hybridMultilevel"/>
    <w:tmpl w:val="4C888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F46D2"/>
    <w:multiLevelType w:val="hybridMultilevel"/>
    <w:tmpl w:val="C558496C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D1645"/>
    <w:multiLevelType w:val="hybridMultilevel"/>
    <w:tmpl w:val="438CDBE6"/>
    <w:lvl w:ilvl="0" w:tplc="9438A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E0EBD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43D3"/>
    <w:multiLevelType w:val="hybridMultilevel"/>
    <w:tmpl w:val="0D82A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26EFC"/>
    <w:multiLevelType w:val="hybridMultilevel"/>
    <w:tmpl w:val="438CDBE6"/>
    <w:lvl w:ilvl="0" w:tplc="9438A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E0EBD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76E9"/>
    <w:multiLevelType w:val="hybridMultilevel"/>
    <w:tmpl w:val="E1447854"/>
    <w:lvl w:ilvl="0" w:tplc="8FB8E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B383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8B2540"/>
    <w:multiLevelType w:val="hybridMultilevel"/>
    <w:tmpl w:val="9FACFF82"/>
    <w:lvl w:ilvl="0" w:tplc="3FC600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9535B"/>
    <w:multiLevelType w:val="hybridMultilevel"/>
    <w:tmpl w:val="24DE9E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4719C"/>
    <w:multiLevelType w:val="hybridMultilevel"/>
    <w:tmpl w:val="738AD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E2076"/>
    <w:multiLevelType w:val="hybridMultilevel"/>
    <w:tmpl w:val="26946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904C4"/>
    <w:multiLevelType w:val="hybridMultilevel"/>
    <w:tmpl w:val="EEF2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0A"/>
    <w:rsid w:val="00151465"/>
    <w:rsid w:val="001A3B5C"/>
    <w:rsid w:val="001E14F8"/>
    <w:rsid w:val="00210E0E"/>
    <w:rsid w:val="00287A72"/>
    <w:rsid w:val="002D7B7D"/>
    <w:rsid w:val="0030722F"/>
    <w:rsid w:val="00336A74"/>
    <w:rsid w:val="003D1576"/>
    <w:rsid w:val="003D4154"/>
    <w:rsid w:val="0042153C"/>
    <w:rsid w:val="004918A8"/>
    <w:rsid w:val="005445F1"/>
    <w:rsid w:val="00544A33"/>
    <w:rsid w:val="00557498"/>
    <w:rsid w:val="00574950"/>
    <w:rsid w:val="0058347B"/>
    <w:rsid w:val="005C02BB"/>
    <w:rsid w:val="005F12A3"/>
    <w:rsid w:val="005F20AE"/>
    <w:rsid w:val="00600AC8"/>
    <w:rsid w:val="00687DD4"/>
    <w:rsid w:val="006932DE"/>
    <w:rsid w:val="007767B5"/>
    <w:rsid w:val="00796861"/>
    <w:rsid w:val="007B79A8"/>
    <w:rsid w:val="007C71C5"/>
    <w:rsid w:val="0083175B"/>
    <w:rsid w:val="008A3C03"/>
    <w:rsid w:val="008A620A"/>
    <w:rsid w:val="008E2726"/>
    <w:rsid w:val="0093040F"/>
    <w:rsid w:val="009846CD"/>
    <w:rsid w:val="009A5DCC"/>
    <w:rsid w:val="009D1065"/>
    <w:rsid w:val="009D7D4C"/>
    <w:rsid w:val="00A251CA"/>
    <w:rsid w:val="00A723D6"/>
    <w:rsid w:val="00A73792"/>
    <w:rsid w:val="00A75FEA"/>
    <w:rsid w:val="00BC26C9"/>
    <w:rsid w:val="00D46685"/>
    <w:rsid w:val="00E63752"/>
    <w:rsid w:val="00E83E14"/>
    <w:rsid w:val="00E96DD1"/>
    <w:rsid w:val="00F36C2C"/>
    <w:rsid w:val="00F455B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1E54A-3614-4841-82A2-0127D38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0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79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792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Paragraph">
    <w:name w:val="List Paragraph"/>
    <w:basedOn w:val="Normal"/>
    <w:uiPriority w:val="72"/>
    <w:qFormat/>
    <w:rsid w:val="00E96DD1"/>
    <w:pPr>
      <w:ind w:left="720"/>
      <w:contextualSpacing/>
    </w:pPr>
  </w:style>
  <w:style w:type="paragraph" w:customStyle="1" w:styleId="BodyBullet">
    <w:name w:val="Body Bullet"/>
    <w:basedOn w:val="ListParagraph"/>
    <w:qFormat/>
    <w:rsid w:val="0030722F"/>
    <w:pPr>
      <w:numPr>
        <w:numId w:val="3"/>
      </w:numPr>
      <w:spacing w:before="120" w:after="120" w:line="240" w:lineRule="atLeast"/>
      <w:contextualSpacing w:val="0"/>
    </w:pPr>
    <w:rPr>
      <w:rFonts w:cstheme="minorHAnsi"/>
      <w:color w:val="27291C"/>
    </w:rPr>
  </w:style>
  <w:style w:type="paragraph" w:styleId="Header">
    <w:name w:val="header"/>
    <w:basedOn w:val="Normal"/>
    <w:link w:val="HeaderChar"/>
    <w:uiPriority w:val="99"/>
    <w:unhideWhenUsed/>
    <w:rsid w:val="009A5D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DCC"/>
  </w:style>
  <w:style w:type="paragraph" w:styleId="Footer">
    <w:name w:val="footer"/>
    <w:basedOn w:val="Normal"/>
    <w:link w:val="FooterChar"/>
    <w:uiPriority w:val="99"/>
    <w:unhideWhenUsed/>
    <w:rsid w:val="009A5D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5DCC"/>
  </w:style>
  <w:style w:type="table" w:styleId="TableGrid">
    <w:name w:val="Table Grid"/>
    <w:basedOn w:val="TableNormal"/>
    <w:uiPriority w:val="39"/>
    <w:rsid w:val="007C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040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3040F"/>
    <w:pPr>
      <w:spacing w:after="200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6375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53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5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53C"/>
    <w:rPr>
      <w:vertAlign w:val="superscript"/>
    </w:rPr>
  </w:style>
  <w:style w:type="character" w:styleId="Emphasis">
    <w:name w:val="Emphasis"/>
    <w:basedOn w:val="DefaultParagraphFont"/>
    <w:qFormat/>
    <w:rsid w:val="009846CD"/>
    <w:rPr>
      <w:i/>
      <w:iCs/>
    </w:rPr>
  </w:style>
  <w:style w:type="paragraph" w:styleId="EndnoteText">
    <w:name w:val="endnote text"/>
    <w:basedOn w:val="Normal"/>
    <w:link w:val="EndnoteTextChar"/>
    <w:rsid w:val="00210E0E"/>
    <w:pPr>
      <w:spacing w:before="120" w:after="120" w:line="300" w:lineRule="atLeast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10E0E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7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87CC-02C4-4250-9BED-CD979CCE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Kean</dc:creator>
  <cp:keywords/>
  <dc:description/>
  <cp:lastModifiedBy>Julie Kean</cp:lastModifiedBy>
  <cp:revision>5</cp:revision>
  <cp:lastPrinted>2021-03-30T04:36:00Z</cp:lastPrinted>
  <dcterms:created xsi:type="dcterms:W3CDTF">2021-03-30T04:08:00Z</dcterms:created>
  <dcterms:modified xsi:type="dcterms:W3CDTF">2021-08-03T05:03:00Z</dcterms:modified>
</cp:coreProperties>
</file>