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0A" w:rsidRDefault="008A620A">
      <w:pPr>
        <w:rPr>
          <w:noProof/>
          <w:lang w:eastAsia="en-AU"/>
        </w:rPr>
      </w:pPr>
      <w:r>
        <w:rPr>
          <w:noProof/>
          <w:lang w:eastAsia="en-AU"/>
        </w:rPr>
        <w:drawing>
          <wp:anchor distT="0" distB="0" distL="114300" distR="114300" simplePos="0" relativeHeight="251658240" behindDoc="0" locked="0" layoutInCell="1" allowOverlap="1">
            <wp:simplePos x="0" y="0"/>
            <wp:positionH relativeFrom="column">
              <wp:posOffset>3665220</wp:posOffset>
            </wp:positionH>
            <wp:positionV relativeFrom="paragraph">
              <wp:posOffset>4445</wp:posOffset>
            </wp:positionV>
            <wp:extent cx="2341880" cy="678180"/>
            <wp:effectExtent l="0" t="0" r="1270" b="7620"/>
            <wp:wrapSquare wrapText="bothSides"/>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20A" w:rsidRDefault="008A620A">
      <w:pPr>
        <w:rPr>
          <w:noProof/>
          <w:lang w:eastAsia="en-AU"/>
        </w:rPr>
      </w:pPr>
    </w:p>
    <w:p w:rsidR="0093040F" w:rsidRDefault="0093040F" w:rsidP="00A73792"/>
    <w:p w:rsidR="008A620A" w:rsidRPr="007767B5" w:rsidRDefault="004918A8" w:rsidP="0093040F">
      <w:pPr>
        <w:pStyle w:val="Heading1"/>
        <w:spacing w:before="0"/>
        <w:jc w:val="center"/>
        <w:rPr>
          <w:sz w:val="48"/>
          <w:szCs w:val="48"/>
        </w:rPr>
      </w:pPr>
      <w:r>
        <w:rPr>
          <w:sz w:val="48"/>
          <w:szCs w:val="48"/>
        </w:rPr>
        <w:t>Anti-terrorism Policy</w:t>
      </w:r>
    </w:p>
    <w:p w:rsidR="00FF057A" w:rsidRDefault="00A73792" w:rsidP="00FF057A">
      <w:pPr>
        <w:pStyle w:val="Heading2"/>
      </w:pPr>
      <w:r>
        <w:t>Purpose</w:t>
      </w:r>
    </w:p>
    <w:p w:rsidR="0093040F" w:rsidRDefault="0093040F" w:rsidP="0093040F">
      <w:r w:rsidRPr="00FD3B4F">
        <w:t xml:space="preserve">This policy sets out </w:t>
      </w:r>
      <w:r w:rsidR="006932DE">
        <w:t xml:space="preserve">the response of </w:t>
      </w:r>
      <w:r>
        <w:t>Water East Timor</w:t>
      </w:r>
      <w:r w:rsidR="006932DE">
        <w:t xml:space="preserve"> </w:t>
      </w:r>
      <w:proofErr w:type="spellStart"/>
      <w:r w:rsidR="006932DE">
        <w:t>Inc</w:t>
      </w:r>
      <w:proofErr w:type="spellEnd"/>
      <w:r w:rsidR="006932DE">
        <w:t xml:space="preserve"> (WET)</w:t>
      </w:r>
      <w:r w:rsidRPr="00FD3B4F">
        <w:t xml:space="preserve"> to </w:t>
      </w:r>
      <w:r>
        <w:t xml:space="preserve">the risk of </w:t>
      </w:r>
      <w:r w:rsidRPr="00FD3B4F">
        <w:t>dealing with individuals and organisations associated with terrorism.</w:t>
      </w:r>
    </w:p>
    <w:p w:rsidR="00A73792" w:rsidRDefault="00A73792" w:rsidP="00A73792">
      <w:pPr>
        <w:pStyle w:val="Heading2"/>
      </w:pPr>
      <w:r>
        <w:t>Introduction</w:t>
      </w:r>
    </w:p>
    <w:p w:rsidR="00D46685" w:rsidRDefault="00D46685" w:rsidP="00D46685">
      <w:r>
        <w:t>Terrorist activities are reliant on financial support. The Australian Department of Foreign Affairs and Trade (DFAT) advises that terrorists have sought to manipulate and misappropriate resources from humanitarian and development NGOs to underpin their operations.</w:t>
      </w:r>
    </w:p>
    <w:p w:rsidR="00D46685" w:rsidRDefault="00D46685" w:rsidP="00D46685">
      <w:r>
        <w:t>The Australian Charities and Not-for-profits Commission (ACNC) states that terrorists can misuse funds fro</w:t>
      </w:r>
      <w:r w:rsidR="002D7B7D">
        <w:t>m not-for-profit organisations</w:t>
      </w:r>
      <w:r>
        <w:t xml:space="preserve"> to finance and support their activities, with or without the charity’s knowledge, including through: </w:t>
      </w:r>
    </w:p>
    <w:p w:rsidR="00D46685" w:rsidRDefault="00D46685" w:rsidP="00151465">
      <w:pPr>
        <w:pStyle w:val="BodyBullet"/>
        <w:spacing w:before="0" w:after="0"/>
      </w:pPr>
      <w:r>
        <w:t>using charity funding</w:t>
      </w:r>
      <w:r w:rsidR="001A3B5C">
        <w:t xml:space="preserve"> or assets</w:t>
      </w:r>
    </w:p>
    <w:p w:rsidR="00D46685" w:rsidRDefault="00D46685" w:rsidP="00151465">
      <w:pPr>
        <w:pStyle w:val="BodyBullet"/>
        <w:spacing w:before="0" w:after="0"/>
      </w:pPr>
      <w:r>
        <w:t>using the charity’s name and status</w:t>
      </w:r>
    </w:p>
    <w:p w:rsidR="00D46685" w:rsidRDefault="00D46685" w:rsidP="00151465">
      <w:pPr>
        <w:pStyle w:val="BodyBullet"/>
        <w:spacing w:before="0" w:after="0"/>
      </w:pPr>
      <w:r>
        <w:t>cleaning money through charities</w:t>
      </w:r>
    </w:p>
    <w:p w:rsidR="00D46685" w:rsidRDefault="00D46685" w:rsidP="00151465">
      <w:pPr>
        <w:pStyle w:val="BodyBullet"/>
        <w:spacing w:before="0" w:after="0"/>
      </w:pPr>
      <w:r>
        <w:t>committing financial abuse within a charity</w:t>
      </w:r>
    </w:p>
    <w:p w:rsidR="00D46685" w:rsidRPr="00FD3B4F" w:rsidRDefault="00D46685" w:rsidP="00151465">
      <w:pPr>
        <w:pStyle w:val="BodyBullet"/>
        <w:spacing w:before="0"/>
      </w:pPr>
      <w:proofErr w:type="gramStart"/>
      <w:r>
        <w:t>setting</w:t>
      </w:r>
      <w:proofErr w:type="gramEnd"/>
      <w:r>
        <w:t xml:space="preserve"> up a charity for an illegal or improper purpose. </w:t>
      </w:r>
    </w:p>
    <w:p w:rsidR="00FF057A" w:rsidRPr="0093040F" w:rsidRDefault="00FF057A" w:rsidP="001A3B5C">
      <w:pPr>
        <w:pStyle w:val="Heading2"/>
        <w:spacing w:before="240"/>
      </w:pPr>
      <w:r w:rsidRPr="001A3B5C">
        <w:t>Scope</w:t>
      </w:r>
      <w:r w:rsidRPr="0093040F">
        <w:t xml:space="preserve"> </w:t>
      </w:r>
    </w:p>
    <w:p w:rsidR="00FF057A" w:rsidRPr="0093040F" w:rsidRDefault="00FF057A" w:rsidP="00FF057A">
      <w:r w:rsidRPr="0093040F">
        <w:t xml:space="preserve">This </w:t>
      </w:r>
      <w:r w:rsidR="0093040F" w:rsidRPr="0093040F">
        <w:t>Anti-terrorism Policy</w:t>
      </w:r>
      <w:r w:rsidRPr="0093040F">
        <w:t xml:space="preserve"> applies to all members of WET, and any person who is engaged in carrying out WET project</w:t>
      </w:r>
      <w:r w:rsidR="00574950" w:rsidRPr="0093040F">
        <w:t>s</w:t>
      </w:r>
      <w:r w:rsidRPr="0093040F">
        <w:t xml:space="preserve"> and other activities – either in Timor-Leste or Australia. </w:t>
      </w:r>
    </w:p>
    <w:p w:rsidR="0093040F" w:rsidRDefault="00FF057A" w:rsidP="00FF057A">
      <w:pPr>
        <w:pStyle w:val="Heading2"/>
      </w:pPr>
      <w:r w:rsidRPr="0093040F">
        <w:t>Definition</w:t>
      </w:r>
    </w:p>
    <w:p w:rsidR="006932DE" w:rsidRDefault="00FF057A" w:rsidP="0093040F">
      <w:r w:rsidRPr="0093040F">
        <w:t xml:space="preserve"> </w:t>
      </w:r>
      <w:r w:rsidR="0093040F">
        <w:t xml:space="preserve">A terrorist act is an act, or a threat to act, </w:t>
      </w:r>
      <w:r w:rsidR="006932DE">
        <w:t>that meets both these criteria:</w:t>
      </w:r>
    </w:p>
    <w:p w:rsidR="006932DE" w:rsidRDefault="006932DE" w:rsidP="006932DE">
      <w:pPr>
        <w:pStyle w:val="BodyBullet"/>
      </w:pPr>
      <w:r>
        <w:t>an act that in</w:t>
      </w:r>
      <w:r w:rsidR="0093040F">
        <w:t xml:space="preserve">tends to coerce or influence the public or any government by intimidation to advance a political, </w:t>
      </w:r>
      <w:r>
        <w:t>religious or ideological cause</w:t>
      </w:r>
    </w:p>
    <w:p w:rsidR="006932DE" w:rsidRDefault="006932DE" w:rsidP="006932DE">
      <w:pPr>
        <w:pStyle w:val="BodyBullet"/>
      </w:pPr>
      <w:proofErr w:type="gramStart"/>
      <w:r>
        <w:t>an</w:t>
      </w:r>
      <w:proofErr w:type="gramEnd"/>
      <w:r>
        <w:t xml:space="preserve"> act that </w:t>
      </w:r>
      <w:r w:rsidR="0093040F">
        <w:t xml:space="preserve">causes </w:t>
      </w:r>
      <w:r>
        <w:t xml:space="preserve">one or more of the following: </w:t>
      </w:r>
      <w:r w:rsidR="0093040F">
        <w:t>death, serio</w:t>
      </w:r>
      <w:r>
        <w:t xml:space="preserve">us harm or danger to a person;  serious damage to property; </w:t>
      </w:r>
      <w:r w:rsidR="0093040F">
        <w:t>serious risk to the health</w:t>
      </w:r>
      <w:r>
        <w:t xml:space="preserve"> or safety of the public; </w:t>
      </w:r>
      <w:r w:rsidR="0093040F">
        <w:t>serious disruption to, or destruction of critical infrastructure such as a telecommunic</w:t>
      </w:r>
      <w:r>
        <w:t>ations or electricity network.</w:t>
      </w:r>
    </w:p>
    <w:p w:rsidR="00FF057A" w:rsidRDefault="006932DE" w:rsidP="006932DE">
      <w:pPr>
        <w:pStyle w:val="Heading2"/>
      </w:pPr>
      <w:r w:rsidRPr="006932DE">
        <w:t xml:space="preserve">Anti-terrorism policy </w:t>
      </w:r>
    </w:p>
    <w:p w:rsidR="006932DE" w:rsidRPr="00CF770F" w:rsidRDefault="006932DE" w:rsidP="006932DE">
      <w:pPr>
        <w:pStyle w:val="ListParagraph"/>
        <w:numPr>
          <w:ilvl w:val="0"/>
          <w:numId w:val="9"/>
        </w:numPr>
        <w:ind w:left="357" w:hanging="357"/>
        <w:contextualSpacing w:val="0"/>
      </w:pPr>
      <w:r w:rsidRPr="00CF770F">
        <w:t>WET renounces all forms of terrorism and will never knowingly support, tolerate or encourage terrorism or the activities of those who embrace terrorism</w:t>
      </w:r>
      <w:r w:rsidR="009D7D4C" w:rsidRPr="00CF770F">
        <w:t>,</w:t>
      </w:r>
      <w:r w:rsidRPr="00CF770F">
        <w:t xml:space="preserve"> and will make every effort to ensure that its resources are not used to facilitate terrorist activity. </w:t>
      </w:r>
    </w:p>
    <w:p w:rsidR="006932DE" w:rsidRPr="00CF770F" w:rsidRDefault="006932DE" w:rsidP="006932DE">
      <w:pPr>
        <w:pStyle w:val="ListParagraph"/>
        <w:numPr>
          <w:ilvl w:val="0"/>
          <w:numId w:val="9"/>
        </w:numPr>
        <w:ind w:left="357" w:hanging="357"/>
        <w:contextualSpacing w:val="0"/>
        <w:rPr>
          <w:rFonts w:ascii="Calibri" w:hAnsi="Calibri"/>
        </w:rPr>
      </w:pPr>
      <w:r w:rsidRPr="00CF770F">
        <w:t>WET acknowledges that Australian Government legislation prohibits dealing with liste</w:t>
      </w:r>
      <w:r w:rsidR="009D7D4C" w:rsidRPr="00CF770F">
        <w:t>d terrorist organizations and</w:t>
      </w:r>
      <w:r w:rsidRPr="00CF770F">
        <w:t xml:space="preserve"> proscribed persons or entities. WET will at all times adopt measures intended to facilitate compliance with this legislation. </w:t>
      </w:r>
    </w:p>
    <w:p w:rsidR="006932DE" w:rsidRPr="00CF770F" w:rsidRDefault="006932DE" w:rsidP="006932DE">
      <w:pPr>
        <w:pStyle w:val="ListParagraph"/>
        <w:numPr>
          <w:ilvl w:val="0"/>
          <w:numId w:val="9"/>
        </w:numPr>
        <w:ind w:left="357" w:hanging="357"/>
        <w:contextualSpacing w:val="0"/>
        <w:rPr>
          <w:rFonts w:ascii="Calibri" w:hAnsi="Calibri"/>
        </w:rPr>
      </w:pPr>
      <w:r w:rsidRPr="00CF770F">
        <w:rPr>
          <w:rFonts w:ascii="Calibri" w:hAnsi="Calibri"/>
        </w:rPr>
        <w:t>WET will confirm the identity, credentials and good standing of the people or organisations it supports and will check</w:t>
      </w:r>
      <w:r w:rsidRPr="00CF770F">
        <w:rPr>
          <w:rFonts w:ascii="Calibri" w:hAnsi="Calibri"/>
          <w:spacing w:val="16"/>
        </w:rPr>
        <w:t xml:space="preserve"> </w:t>
      </w:r>
      <w:r w:rsidRPr="00CF770F">
        <w:rPr>
          <w:rFonts w:ascii="Calibri" w:hAnsi="Calibri"/>
        </w:rPr>
        <w:t>that</w:t>
      </w:r>
      <w:r w:rsidRPr="00CF770F">
        <w:rPr>
          <w:rFonts w:ascii="Calibri" w:hAnsi="Calibri"/>
          <w:spacing w:val="16"/>
        </w:rPr>
        <w:t xml:space="preserve"> </w:t>
      </w:r>
      <w:r w:rsidRPr="00CF770F">
        <w:rPr>
          <w:rFonts w:ascii="Calibri" w:hAnsi="Calibri"/>
        </w:rPr>
        <w:t>these</w:t>
      </w:r>
      <w:r w:rsidRPr="00CF770F">
        <w:rPr>
          <w:rFonts w:ascii="Calibri" w:hAnsi="Calibri"/>
          <w:spacing w:val="23"/>
        </w:rPr>
        <w:t xml:space="preserve"> </w:t>
      </w:r>
      <w:r w:rsidRPr="00CF770F">
        <w:rPr>
          <w:rFonts w:ascii="Calibri" w:hAnsi="Calibri"/>
        </w:rPr>
        <w:t>people</w:t>
      </w:r>
      <w:r w:rsidRPr="00CF770F">
        <w:rPr>
          <w:rFonts w:ascii="Calibri" w:hAnsi="Calibri"/>
          <w:spacing w:val="17"/>
        </w:rPr>
        <w:t xml:space="preserve"> </w:t>
      </w:r>
      <w:r w:rsidRPr="00CF770F">
        <w:rPr>
          <w:rFonts w:ascii="Calibri" w:hAnsi="Calibri"/>
        </w:rPr>
        <w:t>or</w:t>
      </w:r>
      <w:r w:rsidRPr="00CF770F">
        <w:rPr>
          <w:rFonts w:ascii="Calibri" w:hAnsi="Calibri"/>
          <w:spacing w:val="13"/>
        </w:rPr>
        <w:t xml:space="preserve"> </w:t>
      </w:r>
      <w:r w:rsidRPr="00CF770F">
        <w:rPr>
          <w:rFonts w:ascii="Calibri" w:hAnsi="Calibri"/>
        </w:rPr>
        <w:t>organisations</w:t>
      </w:r>
      <w:r w:rsidRPr="00CF770F">
        <w:rPr>
          <w:rFonts w:ascii="Calibri" w:hAnsi="Calibri"/>
          <w:spacing w:val="38"/>
        </w:rPr>
        <w:t xml:space="preserve"> </w:t>
      </w:r>
      <w:r w:rsidRPr="00CF770F">
        <w:rPr>
          <w:rFonts w:ascii="Calibri" w:hAnsi="Calibri"/>
        </w:rPr>
        <w:t>are</w:t>
      </w:r>
      <w:r w:rsidRPr="00CF770F">
        <w:rPr>
          <w:rFonts w:ascii="Calibri" w:hAnsi="Calibri"/>
          <w:spacing w:val="17"/>
        </w:rPr>
        <w:t xml:space="preserve"> </w:t>
      </w:r>
      <w:r w:rsidRPr="00CF770F">
        <w:rPr>
          <w:rFonts w:ascii="Calibri" w:hAnsi="Calibri"/>
        </w:rPr>
        <w:t>not</w:t>
      </w:r>
      <w:r w:rsidRPr="00CF770F">
        <w:rPr>
          <w:rFonts w:ascii="Calibri" w:hAnsi="Calibri"/>
          <w:spacing w:val="13"/>
        </w:rPr>
        <w:t xml:space="preserve"> </w:t>
      </w:r>
      <w:r w:rsidRPr="00CF770F">
        <w:rPr>
          <w:rFonts w:ascii="Calibri" w:hAnsi="Calibri"/>
        </w:rPr>
        <w:t>on</w:t>
      </w:r>
      <w:r w:rsidRPr="00CF770F">
        <w:rPr>
          <w:rFonts w:ascii="Calibri" w:hAnsi="Calibri"/>
          <w:spacing w:val="12"/>
        </w:rPr>
        <w:t xml:space="preserve"> </w:t>
      </w:r>
      <w:r w:rsidRPr="00CF770F">
        <w:rPr>
          <w:rFonts w:ascii="Calibri" w:hAnsi="Calibri"/>
        </w:rPr>
        <w:t>the</w:t>
      </w:r>
      <w:r w:rsidR="009D7D4C" w:rsidRPr="00CF770F">
        <w:rPr>
          <w:rFonts w:ascii="Calibri" w:hAnsi="Calibri"/>
        </w:rPr>
        <w:t xml:space="preserve"> proscribed</w:t>
      </w:r>
      <w:r w:rsidRPr="00CF770F">
        <w:rPr>
          <w:rFonts w:ascii="Calibri" w:hAnsi="Calibri"/>
          <w:spacing w:val="31"/>
        </w:rPr>
        <w:t xml:space="preserve"> </w:t>
      </w:r>
      <w:r w:rsidRPr="00CF770F">
        <w:rPr>
          <w:rFonts w:ascii="Calibri" w:hAnsi="Calibri"/>
        </w:rPr>
        <w:t>lists</w:t>
      </w:r>
      <w:r w:rsidRPr="00CF770F">
        <w:rPr>
          <w:rFonts w:ascii="Calibri" w:hAnsi="Calibri"/>
          <w:w w:val="102"/>
        </w:rPr>
        <w:t xml:space="preserve"> </w:t>
      </w:r>
      <w:r w:rsidRPr="00CF770F">
        <w:rPr>
          <w:rFonts w:ascii="Calibri" w:hAnsi="Calibri"/>
        </w:rPr>
        <w:t>maintained</w:t>
      </w:r>
      <w:r w:rsidRPr="00CF770F">
        <w:rPr>
          <w:rFonts w:ascii="Calibri" w:hAnsi="Calibri"/>
          <w:spacing w:val="29"/>
        </w:rPr>
        <w:t xml:space="preserve"> </w:t>
      </w:r>
      <w:r w:rsidRPr="00CF770F">
        <w:rPr>
          <w:rFonts w:ascii="Calibri" w:hAnsi="Calibri"/>
        </w:rPr>
        <w:t>by</w:t>
      </w:r>
      <w:r w:rsidRPr="00CF770F">
        <w:rPr>
          <w:rFonts w:ascii="Calibri" w:hAnsi="Calibri"/>
          <w:spacing w:val="11"/>
        </w:rPr>
        <w:t xml:space="preserve"> </w:t>
      </w:r>
      <w:r w:rsidRPr="00CF770F">
        <w:rPr>
          <w:rFonts w:ascii="Calibri" w:hAnsi="Calibri"/>
        </w:rPr>
        <w:t>the</w:t>
      </w:r>
      <w:r w:rsidRPr="00CF770F">
        <w:rPr>
          <w:rFonts w:ascii="Calibri" w:hAnsi="Calibri"/>
          <w:spacing w:val="17"/>
        </w:rPr>
        <w:t xml:space="preserve"> </w:t>
      </w:r>
      <w:r w:rsidRPr="00CF770F">
        <w:rPr>
          <w:rFonts w:ascii="Calibri" w:hAnsi="Calibri"/>
        </w:rPr>
        <w:t>Australian</w:t>
      </w:r>
      <w:r w:rsidRPr="00CF770F">
        <w:rPr>
          <w:rFonts w:ascii="Calibri" w:hAnsi="Calibri"/>
          <w:spacing w:val="48"/>
        </w:rPr>
        <w:t xml:space="preserve"> </w:t>
      </w:r>
      <w:r w:rsidRPr="00CF770F">
        <w:rPr>
          <w:rFonts w:ascii="Calibri" w:hAnsi="Calibri"/>
        </w:rPr>
        <w:t>Government.</w:t>
      </w:r>
    </w:p>
    <w:p w:rsidR="006932DE" w:rsidRPr="00CF770F" w:rsidRDefault="006932DE" w:rsidP="006932DE">
      <w:pPr>
        <w:pStyle w:val="ListParagraph"/>
        <w:numPr>
          <w:ilvl w:val="0"/>
          <w:numId w:val="9"/>
        </w:numPr>
        <w:ind w:left="357" w:hanging="357"/>
        <w:contextualSpacing w:val="0"/>
        <w:rPr>
          <w:rFonts w:ascii="Calibri" w:hAnsi="Calibri"/>
        </w:rPr>
      </w:pPr>
      <w:r w:rsidRPr="00CF770F">
        <w:rPr>
          <w:rFonts w:ascii="Calibri" w:hAnsi="Calibri"/>
        </w:rPr>
        <w:t>WET will not knowingly remit any funds to known or suspected terrorist organisations or individuals.</w:t>
      </w:r>
    </w:p>
    <w:p w:rsidR="006932DE" w:rsidRPr="00CF770F" w:rsidRDefault="006932DE" w:rsidP="006932DE">
      <w:pPr>
        <w:pStyle w:val="ListParagraph"/>
        <w:numPr>
          <w:ilvl w:val="0"/>
          <w:numId w:val="9"/>
        </w:numPr>
        <w:ind w:left="357" w:hanging="357"/>
        <w:contextualSpacing w:val="0"/>
        <w:rPr>
          <w:rFonts w:ascii="Calibri" w:hAnsi="Calibri"/>
        </w:rPr>
      </w:pPr>
      <w:r w:rsidRPr="00CF770F">
        <w:rPr>
          <w:rFonts w:ascii="Calibri" w:hAnsi="Calibri"/>
        </w:rPr>
        <w:t>WET will report any known or suspected terrorist links to the relevant national authority.</w:t>
      </w:r>
    </w:p>
    <w:p w:rsidR="00E63752" w:rsidRPr="00CF770F" w:rsidRDefault="00E63752" w:rsidP="00CF770F">
      <w:pPr>
        <w:pStyle w:val="Heading2"/>
      </w:pPr>
      <w:r w:rsidRPr="00CF770F">
        <w:lastRenderedPageBreak/>
        <w:t xml:space="preserve">Anti-terrorism procedures </w:t>
      </w:r>
    </w:p>
    <w:p w:rsidR="00E63752" w:rsidRPr="00CF770F" w:rsidRDefault="00E63752" w:rsidP="0042153C">
      <w:pPr>
        <w:pStyle w:val="ListParagraph"/>
        <w:numPr>
          <w:ilvl w:val="0"/>
          <w:numId w:val="11"/>
        </w:numPr>
        <w:contextualSpacing w:val="0"/>
        <w:rPr>
          <w:rFonts w:ascii="Calibri" w:hAnsi="Calibri"/>
        </w:rPr>
      </w:pPr>
      <w:r w:rsidRPr="00CF770F">
        <w:rPr>
          <w:rFonts w:ascii="Calibri" w:hAnsi="Calibri"/>
        </w:rPr>
        <w:t xml:space="preserve">WET must </w:t>
      </w:r>
      <w:r w:rsidR="0083175B" w:rsidRPr="00CF770F">
        <w:rPr>
          <w:rFonts w:ascii="Calibri" w:hAnsi="Calibri"/>
        </w:rPr>
        <w:t xml:space="preserve">use its best efforts to </w:t>
      </w:r>
      <w:r w:rsidRPr="00CF770F">
        <w:rPr>
          <w:rFonts w:ascii="Calibri" w:hAnsi="Calibri"/>
        </w:rPr>
        <w:t>know the identity, creden</w:t>
      </w:r>
      <w:r w:rsidR="009D7D4C" w:rsidRPr="00CF770F">
        <w:rPr>
          <w:rFonts w:ascii="Calibri" w:hAnsi="Calibri"/>
        </w:rPr>
        <w:t>tials and good standing of</w:t>
      </w:r>
      <w:r w:rsidRPr="00CF770F">
        <w:rPr>
          <w:rFonts w:ascii="Calibri" w:hAnsi="Calibri"/>
        </w:rPr>
        <w:t xml:space="preserve"> partners and recipient organis</w:t>
      </w:r>
      <w:r w:rsidR="0042153C" w:rsidRPr="00CF770F">
        <w:rPr>
          <w:rFonts w:ascii="Calibri" w:hAnsi="Calibri"/>
        </w:rPr>
        <w:t>ations (</w:t>
      </w:r>
      <w:r w:rsidRPr="00CF770F">
        <w:rPr>
          <w:rFonts w:ascii="Calibri" w:hAnsi="Calibri"/>
        </w:rPr>
        <w:t xml:space="preserve">what they do, where they operate, who are their key decision makers). </w:t>
      </w:r>
    </w:p>
    <w:p w:rsidR="00E63752" w:rsidRPr="00CF770F" w:rsidRDefault="00E63752" w:rsidP="0042153C">
      <w:pPr>
        <w:pStyle w:val="ListParagraph"/>
        <w:numPr>
          <w:ilvl w:val="0"/>
          <w:numId w:val="11"/>
        </w:numPr>
        <w:ind w:left="357" w:hanging="357"/>
        <w:contextualSpacing w:val="0"/>
        <w:rPr>
          <w:rFonts w:ascii="Calibri" w:hAnsi="Calibri"/>
        </w:rPr>
      </w:pPr>
      <w:r w:rsidRPr="00CF770F">
        <w:rPr>
          <w:rFonts w:ascii="Calibri" w:hAnsi="Calibri"/>
        </w:rPr>
        <w:t xml:space="preserve">Care will be taken to only transmit funds from </w:t>
      </w:r>
      <w:r w:rsidR="0042153C" w:rsidRPr="00CF770F">
        <w:rPr>
          <w:rFonts w:ascii="Calibri" w:hAnsi="Calibri"/>
        </w:rPr>
        <w:t>WET</w:t>
      </w:r>
      <w:r w:rsidRPr="00CF770F">
        <w:rPr>
          <w:rFonts w:ascii="Calibri" w:hAnsi="Calibri"/>
        </w:rPr>
        <w:t xml:space="preserve"> using reputable banks and other financial institutions for this purpose.</w:t>
      </w:r>
    </w:p>
    <w:p w:rsidR="0042153C" w:rsidRPr="00CF770F" w:rsidRDefault="00E63752" w:rsidP="0042153C">
      <w:pPr>
        <w:pStyle w:val="ListParagraph"/>
        <w:numPr>
          <w:ilvl w:val="0"/>
          <w:numId w:val="11"/>
        </w:numPr>
        <w:ind w:left="357" w:hanging="357"/>
        <w:contextualSpacing w:val="0"/>
        <w:rPr>
          <w:rFonts w:ascii="Calibri" w:hAnsi="Calibri"/>
        </w:rPr>
      </w:pPr>
      <w:r w:rsidRPr="00CF770F">
        <w:rPr>
          <w:rFonts w:ascii="Calibri" w:hAnsi="Calibri"/>
        </w:rPr>
        <w:t>Prior to</w:t>
      </w:r>
      <w:r w:rsidR="009D7D4C" w:rsidRPr="00CF770F">
        <w:rPr>
          <w:rFonts w:ascii="Calibri" w:hAnsi="Calibri"/>
        </w:rPr>
        <w:t xml:space="preserve"> WET</w:t>
      </w:r>
      <w:r w:rsidRPr="00CF770F">
        <w:rPr>
          <w:rFonts w:ascii="Calibri" w:hAnsi="Calibri"/>
        </w:rPr>
        <w:t xml:space="preserve"> funding any organisation, details of funded entities and their office bearers will be compared to Australian Government lists of terrorist and proscribed organis</w:t>
      </w:r>
      <w:r w:rsidR="0042153C" w:rsidRPr="00CF770F">
        <w:rPr>
          <w:rFonts w:ascii="Calibri" w:hAnsi="Calibri"/>
        </w:rPr>
        <w:t>ations.</w:t>
      </w:r>
      <w:r w:rsidR="0042153C" w:rsidRPr="00CF770F">
        <w:rPr>
          <w:rStyle w:val="FootnoteReference"/>
          <w:rFonts w:ascii="Calibri" w:hAnsi="Calibri"/>
        </w:rPr>
        <w:footnoteReference w:id="1"/>
      </w:r>
    </w:p>
    <w:p w:rsidR="00E63752" w:rsidRPr="00CF770F" w:rsidRDefault="0042153C" w:rsidP="0042153C">
      <w:pPr>
        <w:pStyle w:val="ListParagraph"/>
        <w:numPr>
          <w:ilvl w:val="0"/>
          <w:numId w:val="11"/>
        </w:numPr>
        <w:ind w:left="357" w:hanging="357"/>
        <w:contextualSpacing w:val="0"/>
        <w:rPr>
          <w:rFonts w:ascii="Calibri" w:hAnsi="Calibri"/>
        </w:rPr>
      </w:pPr>
      <w:r w:rsidRPr="00CF770F">
        <w:rPr>
          <w:rFonts w:ascii="Calibri" w:hAnsi="Calibri"/>
        </w:rPr>
        <w:t>WET</w:t>
      </w:r>
      <w:r w:rsidR="00E63752" w:rsidRPr="00CF770F">
        <w:rPr>
          <w:rFonts w:ascii="Calibri" w:hAnsi="Calibri"/>
        </w:rPr>
        <w:t xml:space="preserve"> will immediately withdraw all support, including provision of resources, if it has reason to believe that a </w:t>
      </w:r>
      <w:r w:rsidRPr="00CF770F">
        <w:rPr>
          <w:rFonts w:ascii="Calibri" w:hAnsi="Calibri"/>
        </w:rPr>
        <w:t>WET</w:t>
      </w:r>
      <w:r w:rsidR="00E63752" w:rsidRPr="00CF770F">
        <w:rPr>
          <w:rFonts w:ascii="Calibri" w:hAnsi="Calibri"/>
        </w:rPr>
        <w:t xml:space="preserve"> partner has breached the requirements of this policy. </w:t>
      </w:r>
    </w:p>
    <w:p w:rsidR="005C02BB" w:rsidRPr="006932DE" w:rsidRDefault="005C02BB" w:rsidP="005C02BB">
      <w:pPr>
        <w:pStyle w:val="Heading2"/>
      </w:pPr>
      <w:r w:rsidRPr="006932DE">
        <w:t xml:space="preserve">Breaches of this </w:t>
      </w:r>
      <w:r w:rsidR="006932DE" w:rsidRPr="006932DE">
        <w:t>policy</w:t>
      </w:r>
      <w:r w:rsidRPr="006932DE">
        <w:t xml:space="preserve"> </w:t>
      </w:r>
    </w:p>
    <w:p w:rsidR="005C02BB" w:rsidRPr="006932DE" w:rsidRDefault="005C02BB" w:rsidP="005C02BB">
      <w:r w:rsidRPr="006932DE">
        <w:t xml:space="preserve">People engaged in WET projects or activities should be aware that breaches of this </w:t>
      </w:r>
      <w:r w:rsidR="006932DE" w:rsidRPr="006932DE">
        <w:t>policy</w:t>
      </w:r>
      <w:r w:rsidRPr="006932DE">
        <w:t xml:space="preserve"> may be punishable under local laws and regulations. </w:t>
      </w:r>
    </w:p>
    <w:p w:rsidR="005C02BB" w:rsidRPr="006932DE" w:rsidRDefault="005C02BB" w:rsidP="005C02BB">
      <w:r w:rsidRPr="006932DE">
        <w:t xml:space="preserve">If WET becomes aware of any breaches of this </w:t>
      </w:r>
      <w:r w:rsidR="0083175B">
        <w:t>policy</w:t>
      </w:r>
      <w:r w:rsidRPr="006932DE">
        <w:t xml:space="preserve">, action will immediately be taken to remove </w:t>
      </w:r>
      <w:r w:rsidR="00574950" w:rsidRPr="006932DE">
        <w:t>the person from the WET project or activity,</w:t>
      </w:r>
      <w:r w:rsidRPr="006932DE">
        <w:t xml:space="preserve"> and consideration will be given to reporting to law enforcement agencies. </w:t>
      </w:r>
    </w:p>
    <w:p w:rsidR="005C02BB" w:rsidRPr="0042153C" w:rsidRDefault="005C02BB" w:rsidP="005C02BB">
      <w:pPr>
        <w:pStyle w:val="Heading2"/>
      </w:pPr>
      <w:r w:rsidRPr="0042153C">
        <w:t>Communication</w:t>
      </w:r>
    </w:p>
    <w:p w:rsidR="005C02BB" w:rsidRDefault="005C02BB" w:rsidP="005C02BB">
      <w:r w:rsidRPr="0042153C">
        <w:t xml:space="preserve">This </w:t>
      </w:r>
      <w:r w:rsidR="0042153C" w:rsidRPr="0042153C">
        <w:t xml:space="preserve">policy will be communicated to any WET Australia-based project Team Leader, and Timor-Leste based Team Leader. </w:t>
      </w:r>
    </w:p>
    <w:p w:rsidR="00D46685" w:rsidRPr="0042153C" w:rsidRDefault="00D46685" w:rsidP="005C02BB"/>
    <w:tbl>
      <w:tblPr>
        <w:tblStyle w:val="TableGrid"/>
        <w:tblW w:w="0" w:type="auto"/>
        <w:tblLook w:val="04A0" w:firstRow="1" w:lastRow="0" w:firstColumn="1" w:lastColumn="0" w:noHBand="0" w:noVBand="1"/>
      </w:tblPr>
      <w:tblGrid>
        <w:gridCol w:w="4815"/>
        <w:gridCol w:w="4201"/>
      </w:tblGrid>
      <w:tr w:rsidR="008A3C03" w:rsidRPr="004918A8" w:rsidTr="0093040F">
        <w:tc>
          <w:tcPr>
            <w:tcW w:w="4815" w:type="dxa"/>
          </w:tcPr>
          <w:p w:rsidR="008A3C03" w:rsidRPr="0058347B" w:rsidRDefault="008A3C03" w:rsidP="007C71C5">
            <w:pPr>
              <w:spacing w:before="80" w:after="80"/>
              <w:rPr>
                <w:b/>
                <w:sz w:val="20"/>
                <w:szCs w:val="20"/>
              </w:rPr>
            </w:pPr>
            <w:r w:rsidRPr="0058347B">
              <w:rPr>
                <w:b/>
                <w:sz w:val="20"/>
                <w:szCs w:val="20"/>
              </w:rPr>
              <w:t xml:space="preserve">Version number </w:t>
            </w:r>
          </w:p>
        </w:tc>
        <w:tc>
          <w:tcPr>
            <w:tcW w:w="4201" w:type="dxa"/>
          </w:tcPr>
          <w:p w:rsidR="008A3C03" w:rsidRPr="006932DE" w:rsidRDefault="008A3C03" w:rsidP="007C71C5">
            <w:pPr>
              <w:spacing w:before="80" w:after="80"/>
              <w:rPr>
                <w:sz w:val="20"/>
                <w:szCs w:val="20"/>
              </w:rPr>
            </w:pPr>
            <w:r w:rsidRPr="006932DE">
              <w:rPr>
                <w:sz w:val="20"/>
                <w:szCs w:val="20"/>
              </w:rPr>
              <w:t>1</w:t>
            </w:r>
          </w:p>
        </w:tc>
      </w:tr>
      <w:tr w:rsidR="007C71C5" w:rsidRPr="004918A8" w:rsidTr="0093040F">
        <w:tc>
          <w:tcPr>
            <w:tcW w:w="4815" w:type="dxa"/>
          </w:tcPr>
          <w:p w:rsidR="007C71C5" w:rsidRPr="0058347B" w:rsidRDefault="008A3C03" w:rsidP="007C71C5">
            <w:pPr>
              <w:spacing w:before="80" w:after="80"/>
              <w:rPr>
                <w:b/>
                <w:sz w:val="20"/>
                <w:szCs w:val="20"/>
              </w:rPr>
            </w:pPr>
            <w:r w:rsidRPr="0058347B">
              <w:rPr>
                <w:b/>
                <w:sz w:val="20"/>
                <w:szCs w:val="20"/>
              </w:rPr>
              <w:t>Date approved by the WET Committee of Management</w:t>
            </w:r>
          </w:p>
        </w:tc>
        <w:tc>
          <w:tcPr>
            <w:tcW w:w="4201" w:type="dxa"/>
          </w:tcPr>
          <w:p w:rsidR="007C71C5" w:rsidRPr="006932DE" w:rsidRDefault="001022B6" w:rsidP="007C71C5">
            <w:pPr>
              <w:spacing w:before="80" w:after="80"/>
              <w:rPr>
                <w:sz w:val="20"/>
                <w:szCs w:val="20"/>
              </w:rPr>
            </w:pPr>
            <w:r>
              <w:rPr>
                <w:sz w:val="20"/>
                <w:szCs w:val="20"/>
              </w:rPr>
              <w:t>8 April 2021</w:t>
            </w:r>
          </w:p>
        </w:tc>
      </w:tr>
      <w:tr w:rsidR="007C71C5" w:rsidRPr="004918A8" w:rsidTr="0093040F">
        <w:tc>
          <w:tcPr>
            <w:tcW w:w="4815" w:type="dxa"/>
          </w:tcPr>
          <w:p w:rsidR="007C71C5" w:rsidRPr="0058347B" w:rsidRDefault="008A3C03" w:rsidP="007C71C5">
            <w:pPr>
              <w:spacing w:before="80" w:after="80"/>
              <w:rPr>
                <w:b/>
                <w:sz w:val="20"/>
                <w:szCs w:val="20"/>
              </w:rPr>
            </w:pPr>
            <w:r w:rsidRPr="0058347B">
              <w:rPr>
                <w:b/>
                <w:sz w:val="20"/>
                <w:szCs w:val="20"/>
              </w:rPr>
              <w:t xml:space="preserve">Date of next review </w:t>
            </w:r>
          </w:p>
        </w:tc>
        <w:tc>
          <w:tcPr>
            <w:tcW w:w="4201" w:type="dxa"/>
          </w:tcPr>
          <w:p w:rsidR="007C71C5" w:rsidRPr="006932DE" w:rsidRDefault="001022B6" w:rsidP="007C71C5">
            <w:pPr>
              <w:spacing w:before="80" w:after="80"/>
              <w:rPr>
                <w:sz w:val="20"/>
                <w:szCs w:val="20"/>
              </w:rPr>
            </w:pPr>
            <w:r>
              <w:rPr>
                <w:sz w:val="20"/>
                <w:szCs w:val="20"/>
              </w:rPr>
              <w:t>April 2024</w:t>
            </w:r>
          </w:p>
        </w:tc>
      </w:tr>
      <w:tr w:rsidR="006932DE" w:rsidRPr="007C71C5" w:rsidTr="00FF4C0D">
        <w:tc>
          <w:tcPr>
            <w:tcW w:w="9016" w:type="dxa"/>
            <w:gridSpan w:val="2"/>
          </w:tcPr>
          <w:p w:rsidR="006932DE" w:rsidRPr="0058347B" w:rsidRDefault="006932DE" w:rsidP="006932DE">
            <w:pPr>
              <w:spacing w:before="80" w:after="80"/>
              <w:rPr>
                <w:b/>
                <w:sz w:val="20"/>
                <w:szCs w:val="20"/>
              </w:rPr>
            </w:pPr>
            <w:r w:rsidRPr="0058347B">
              <w:rPr>
                <w:b/>
                <w:sz w:val="20"/>
                <w:szCs w:val="20"/>
              </w:rPr>
              <w:t xml:space="preserve">Related policies and documents: </w:t>
            </w:r>
          </w:p>
          <w:p w:rsidR="006932DE" w:rsidRPr="006932DE" w:rsidRDefault="006932DE" w:rsidP="0058347B">
            <w:pPr>
              <w:spacing w:before="80" w:after="160"/>
              <w:rPr>
                <w:sz w:val="20"/>
                <w:szCs w:val="20"/>
              </w:rPr>
            </w:pPr>
            <w:r w:rsidRPr="006932DE">
              <w:rPr>
                <w:sz w:val="20"/>
                <w:szCs w:val="20"/>
              </w:rPr>
              <w:t>Part 5.3 of the Criminal Code Act 1995 (‘the Criminal Code’)</w:t>
            </w:r>
            <w:r w:rsidR="00A75FEA">
              <w:rPr>
                <w:rFonts w:cs="Symbol"/>
                <w:sz w:val="20"/>
                <w:szCs w:val="20"/>
              </w:rPr>
              <w:t xml:space="preserve"> – </w:t>
            </w:r>
            <w:r w:rsidR="00A75FEA">
              <w:t>se</w:t>
            </w:r>
            <w:bookmarkStart w:id="0" w:name="_GoBack"/>
            <w:bookmarkEnd w:id="0"/>
            <w:r w:rsidR="00A75FEA">
              <w:t>ts out criminal penalties (up to life imprisonment) for providing support intentionally or recklessly to a terrorist organisation</w:t>
            </w:r>
          </w:p>
          <w:p w:rsidR="0058347B" w:rsidRDefault="006932DE" w:rsidP="0058347B">
            <w:pPr>
              <w:spacing w:before="80" w:after="160"/>
              <w:rPr>
                <w:sz w:val="20"/>
                <w:szCs w:val="20"/>
              </w:rPr>
            </w:pPr>
            <w:r w:rsidRPr="006932DE">
              <w:rPr>
                <w:sz w:val="20"/>
                <w:szCs w:val="20"/>
              </w:rPr>
              <w:t>Part 4 of the Charter of United Nations Act 1945 (‘the UN Charter Act’)</w:t>
            </w:r>
            <w:r w:rsidR="00A75FEA">
              <w:rPr>
                <w:sz w:val="20"/>
                <w:szCs w:val="20"/>
              </w:rPr>
              <w:t xml:space="preserve"> – </w:t>
            </w:r>
            <w:r w:rsidR="00A75FEA">
              <w:t>penalties apply for making assets available to a proscribed person or entity.</w:t>
            </w:r>
          </w:p>
          <w:p w:rsidR="006932DE" w:rsidRDefault="0058347B" w:rsidP="0058347B">
            <w:pPr>
              <w:spacing w:before="80" w:after="160"/>
            </w:pPr>
            <w:r>
              <w:t xml:space="preserve">ACNC Checklist: protecting your charity against the risk of terrorism financing: </w:t>
            </w:r>
            <w:hyperlink r:id="rId9" w:history="1">
              <w:r w:rsidR="00E63752" w:rsidRPr="004626FA">
                <w:rPr>
                  <w:rStyle w:val="Hyperlink"/>
                </w:rPr>
                <w:t>https://www.acnc.gov.au/for-charities/manage/managing-charity-risk/protecting-your-charity-against-risk-terrorism-financing</w:t>
              </w:r>
            </w:hyperlink>
            <w:r w:rsidR="00E63752">
              <w:t xml:space="preserve"> </w:t>
            </w:r>
          </w:p>
          <w:p w:rsidR="009D7D4C" w:rsidRPr="00E63752" w:rsidRDefault="009D7D4C" w:rsidP="009D7D4C">
            <w:pPr>
              <w:spacing w:before="80" w:after="160"/>
            </w:pPr>
            <w:r w:rsidRPr="009D7D4C">
              <w:rPr>
                <w:sz w:val="20"/>
                <w:szCs w:val="20"/>
              </w:rPr>
              <w:t>DFAT consolidated list of all persons and entities who are subject to targeted financial sanctions under Australian sanctions law. Those listed may be Australian citizens, foreign nationals, or residents in Australia or overseas.</w:t>
            </w:r>
            <w:r>
              <w:rPr>
                <w:sz w:val="20"/>
                <w:szCs w:val="20"/>
              </w:rPr>
              <w:t xml:space="preserve"> </w:t>
            </w:r>
            <w:r>
              <w:rPr>
                <w:sz w:val="20"/>
                <w:szCs w:val="20"/>
              </w:rPr>
              <w:br/>
            </w:r>
            <w:hyperlink r:id="rId10" w:anchor="list" w:history="1">
              <w:r w:rsidRPr="004626FA">
                <w:rPr>
                  <w:rStyle w:val="Hyperlink"/>
                  <w:sz w:val="20"/>
                  <w:szCs w:val="20"/>
                </w:rPr>
                <w:t>https://www.dfat.gov.au/international-relations/security/sanctions/Pages/consolidated-list#list</w:t>
              </w:r>
            </w:hyperlink>
            <w:r>
              <w:rPr>
                <w:sz w:val="20"/>
                <w:szCs w:val="20"/>
              </w:rPr>
              <w:t xml:space="preserve"> </w:t>
            </w:r>
          </w:p>
        </w:tc>
      </w:tr>
    </w:tbl>
    <w:p w:rsidR="0093040F" w:rsidRPr="0042153C" w:rsidRDefault="0093040F" w:rsidP="0042153C">
      <w:pPr>
        <w:ind w:left="360"/>
      </w:pPr>
    </w:p>
    <w:p w:rsidR="0093040F" w:rsidRPr="005C02BB" w:rsidRDefault="0093040F" w:rsidP="00A75FEA">
      <w:pPr>
        <w:pStyle w:val="ListParagraph"/>
        <w:ind w:left="360"/>
      </w:pPr>
      <w:r>
        <w:t xml:space="preserve"> </w:t>
      </w:r>
    </w:p>
    <w:sectPr w:rsidR="0093040F" w:rsidRPr="005C02BB" w:rsidSect="00796861">
      <w:headerReference w:type="default" r:id="rId11"/>
      <w:footerReference w:type="default" r:id="rId12"/>
      <w:pgSz w:w="11906" w:h="16838"/>
      <w:pgMar w:top="709" w:right="1440" w:bottom="1440"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DB" w:rsidRDefault="00D128DB" w:rsidP="009A5DCC">
      <w:pPr>
        <w:spacing w:after="0"/>
      </w:pPr>
      <w:r>
        <w:separator/>
      </w:r>
    </w:p>
  </w:endnote>
  <w:endnote w:type="continuationSeparator" w:id="0">
    <w:p w:rsidR="00D128DB" w:rsidRDefault="00D128DB" w:rsidP="009A5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C" w:rsidRDefault="009A5DCC" w:rsidP="009A5DCC">
    <w:pPr>
      <w:pStyle w:val="Footer"/>
      <w:pBdr>
        <w:top w:val="single" w:sz="4" w:space="1" w:color="auto"/>
      </w:pBdr>
    </w:pPr>
  </w:p>
  <w:p w:rsidR="009A5DCC" w:rsidRPr="00796861" w:rsidRDefault="009A5DCC" w:rsidP="009A5DCC">
    <w:pPr>
      <w:pStyle w:val="Footer"/>
      <w:pBdr>
        <w:top w:val="single" w:sz="4" w:space="1" w:color="auto"/>
      </w:pBdr>
      <w:rPr>
        <w:sz w:val="18"/>
        <w:szCs w:val="18"/>
      </w:rPr>
    </w:pPr>
    <w:r w:rsidRPr="00796861">
      <w:rPr>
        <w:sz w:val="18"/>
        <w:szCs w:val="18"/>
      </w:rPr>
      <w:t>Water East Timor</w:t>
    </w:r>
    <w:r w:rsidR="00796861">
      <w:rPr>
        <w:sz w:val="18"/>
        <w:szCs w:val="18"/>
      </w:rPr>
      <w:t xml:space="preserve"> </w:t>
    </w:r>
    <w:proofErr w:type="spellStart"/>
    <w:r w:rsidR="00796861">
      <w:rPr>
        <w:sz w:val="18"/>
        <w:szCs w:val="18"/>
      </w:rPr>
      <w:t>Inc</w:t>
    </w:r>
    <w:proofErr w:type="spellEnd"/>
    <w:r w:rsidRPr="00796861">
      <w:rPr>
        <w:sz w:val="18"/>
        <w:szCs w:val="18"/>
      </w:rPr>
      <w:t xml:space="preserve"> – </w:t>
    </w:r>
    <w:r w:rsidR="004918A8">
      <w:rPr>
        <w:sz w:val="18"/>
        <w:szCs w:val="18"/>
      </w:rPr>
      <w:t>Anti-terrorism</w:t>
    </w:r>
    <w:r w:rsidRPr="00796861">
      <w:rPr>
        <w:sz w:val="18"/>
        <w:szCs w:val="18"/>
      </w:rPr>
      <w:t xml:space="preserve"> Policy, </w:t>
    </w:r>
    <w:r w:rsidR="003D4154">
      <w:rPr>
        <w:sz w:val="18"/>
        <w:szCs w:val="18"/>
      </w:rPr>
      <w:t>April 2021</w:t>
    </w:r>
    <w:r w:rsidR="003D4154">
      <w:rPr>
        <w:sz w:val="18"/>
        <w:szCs w:val="18"/>
      </w:rPr>
      <w:tab/>
    </w:r>
    <w:r w:rsidRPr="00796861">
      <w:rPr>
        <w:sz w:val="18"/>
        <w:szCs w:val="18"/>
      </w:rPr>
      <w:tab/>
    </w:r>
    <w:r w:rsidR="00796861" w:rsidRPr="00796861">
      <w:rPr>
        <w:sz w:val="18"/>
        <w:szCs w:val="18"/>
      </w:rPr>
      <w:fldChar w:fldCharType="begin"/>
    </w:r>
    <w:r w:rsidR="00796861" w:rsidRPr="00796861">
      <w:rPr>
        <w:sz w:val="18"/>
        <w:szCs w:val="18"/>
      </w:rPr>
      <w:instrText xml:space="preserve"> PAGE   \* MERGEFORMAT </w:instrText>
    </w:r>
    <w:r w:rsidR="00796861" w:rsidRPr="00796861">
      <w:rPr>
        <w:sz w:val="18"/>
        <w:szCs w:val="18"/>
      </w:rPr>
      <w:fldChar w:fldCharType="separate"/>
    </w:r>
    <w:r w:rsidR="001022B6" w:rsidRPr="001022B6">
      <w:rPr>
        <w:b/>
        <w:bCs/>
        <w:noProof/>
        <w:sz w:val="18"/>
        <w:szCs w:val="18"/>
      </w:rPr>
      <w:t>2</w:t>
    </w:r>
    <w:r w:rsidR="00796861" w:rsidRPr="00796861">
      <w:rPr>
        <w:b/>
        <w:bCs/>
        <w:noProof/>
        <w:sz w:val="18"/>
        <w:szCs w:val="18"/>
      </w:rPr>
      <w:fldChar w:fldCharType="end"/>
    </w:r>
    <w:r w:rsidR="00796861" w:rsidRPr="00796861">
      <w:rPr>
        <w:b/>
        <w:bCs/>
        <w:sz w:val="18"/>
        <w:szCs w:val="18"/>
      </w:rPr>
      <w:t xml:space="preserve"> </w:t>
    </w:r>
    <w:r w:rsidR="00796861" w:rsidRPr="00796861">
      <w:rPr>
        <w:sz w:val="18"/>
        <w:szCs w:val="18"/>
      </w:rPr>
      <w:t>|</w:t>
    </w:r>
    <w:r w:rsidR="00796861" w:rsidRPr="00796861">
      <w:rPr>
        <w:b/>
        <w:bCs/>
        <w:sz w:val="18"/>
        <w:szCs w:val="18"/>
      </w:rPr>
      <w:t xml:space="preserve"> </w:t>
    </w:r>
    <w:r w:rsidR="00796861" w:rsidRPr="00796861">
      <w:rPr>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DB" w:rsidRDefault="00D128DB" w:rsidP="009A5DCC">
      <w:pPr>
        <w:spacing w:after="0"/>
      </w:pPr>
      <w:r>
        <w:separator/>
      </w:r>
    </w:p>
  </w:footnote>
  <w:footnote w:type="continuationSeparator" w:id="0">
    <w:p w:rsidR="00D128DB" w:rsidRDefault="00D128DB" w:rsidP="009A5DCC">
      <w:pPr>
        <w:spacing w:after="0"/>
      </w:pPr>
      <w:r>
        <w:continuationSeparator/>
      </w:r>
    </w:p>
  </w:footnote>
  <w:footnote w:id="1">
    <w:p w:rsidR="0042153C" w:rsidRDefault="0042153C">
      <w:pPr>
        <w:pStyle w:val="FootnoteText"/>
      </w:pPr>
      <w:r>
        <w:rPr>
          <w:rStyle w:val="FootnoteReference"/>
        </w:rPr>
        <w:footnoteRef/>
      </w:r>
      <w:r>
        <w:t xml:space="preserve"> </w:t>
      </w:r>
      <w:r w:rsidRPr="009D7D4C">
        <w:rPr>
          <w:sz w:val="18"/>
          <w:szCs w:val="18"/>
        </w:rPr>
        <w:t xml:space="preserve">There are currently (November 2020) no Timor-Leste based proscribed terrorist </w:t>
      </w:r>
      <w:r w:rsidR="009D7D4C" w:rsidRPr="009D7D4C">
        <w:rPr>
          <w:sz w:val="18"/>
          <w:szCs w:val="18"/>
        </w:rPr>
        <w:t xml:space="preserve">persons or </w:t>
      </w:r>
      <w:r w:rsidRPr="009D7D4C">
        <w:rPr>
          <w:sz w:val="18"/>
          <w:szCs w:val="18"/>
        </w:rPr>
        <w:t>organisations on DFAT’s lists</w:t>
      </w:r>
      <w:r w:rsidR="009D7D4C" w:rsidRPr="009D7D4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CA" w:rsidRDefault="00A2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5pt;height:9.8pt" o:bullet="t">
        <v:imagedata r:id="rId1" o:title="Bullet point"/>
      </v:shape>
    </w:pict>
  </w:numPicBullet>
  <w:abstractNum w:abstractNumId="0" w15:restartNumberingAfterBreak="0">
    <w:nsid w:val="08776445"/>
    <w:multiLevelType w:val="hybridMultilevel"/>
    <w:tmpl w:val="C192A01A"/>
    <w:lvl w:ilvl="0" w:tplc="A30EC9B2">
      <w:start w:val="1"/>
      <w:numFmt w:val="bullet"/>
      <w:pStyle w:val="BodyBullet"/>
      <w:lvlText w:val=""/>
      <w:lvlJc w:val="left"/>
      <w:pPr>
        <w:ind w:left="360" w:hanging="360"/>
      </w:pPr>
      <w:rPr>
        <w:rFonts w:ascii="Wingdings" w:hAnsi="Wingdings"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E54853"/>
    <w:multiLevelType w:val="hybridMultilevel"/>
    <w:tmpl w:val="738AD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3A79D2"/>
    <w:multiLevelType w:val="hybridMultilevel"/>
    <w:tmpl w:val="738AD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215DA7"/>
    <w:multiLevelType w:val="hybridMultilevel"/>
    <w:tmpl w:val="4C888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0F46D2"/>
    <w:multiLevelType w:val="hybridMultilevel"/>
    <w:tmpl w:val="C558496C"/>
    <w:lvl w:ilvl="0" w:tplc="CA8C1BD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6243D3"/>
    <w:multiLevelType w:val="hybridMultilevel"/>
    <w:tmpl w:val="0D82A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F76E9"/>
    <w:multiLevelType w:val="hybridMultilevel"/>
    <w:tmpl w:val="E1447854"/>
    <w:lvl w:ilvl="0" w:tplc="8FB8E9FC">
      <w:start w:val="1"/>
      <w:numFmt w:val="bullet"/>
      <w:lvlText w:val=""/>
      <w:lvlPicBulletId w:val="0"/>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B2540"/>
    <w:multiLevelType w:val="hybridMultilevel"/>
    <w:tmpl w:val="9FACFF82"/>
    <w:lvl w:ilvl="0" w:tplc="3FC6005A">
      <w:start w:val="1"/>
      <w:numFmt w:val="decimal"/>
      <w:lvlText w:val="%1."/>
      <w:lvlJc w:val="left"/>
      <w:pPr>
        <w:ind w:left="644"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9535B"/>
    <w:multiLevelType w:val="hybridMultilevel"/>
    <w:tmpl w:val="24DE9E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024719C"/>
    <w:multiLevelType w:val="hybridMultilevel"/>
    <w:tmpl w:val="738AD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D1904C4"/>
    <w:multiLevelType w:val="hybridMultilevel"/>
    <w:tmpl w:val="EEF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3"/>
  </w:num>
  <w:num w:numId="7">
    <w:abstractNumId w:val="10"/>
  </w:num>
  <w:num w:numId="8">
    <w:abstractNumId w:val="8"/>
  </w:num>
  <w:num w:numId="9">
    <w:abstractNumId w:val="2"/>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A"/>
    <w:rsid w:val="001022B6"/>
    <w:rsid w:val="00151465"/>
    <w:rsid w:val="001A3B5C"/>
    <w:rsid w:val="001E14F8"/>
    <w:rsid w:val="00287A72"/>
    <w:rsid w:val="002D7B7D"/>
    <w:rsid w:val="0030722F"/>
    <w:rsid w:val="003D1576"/>
    <w:rsid w:val="003D4154"/>
    <w:rsid w:val="0042153C"/>
    <w:rsid w:val="004918A8"/>
    <w:rsid w:val="005445F1"/>
    <w:rsid w:val="00544A33"/>
    <w:rsid w:val="00574950"/>
    <w:rsid w:val="0058347B"/>
    <w:rsid w:val="00586642"/>
    <w:rsid w:val="005C02BB"/>
    <w:rsid w:val="005F12A3"/>
    <w:rsid w:val="005F20AE"/>
    <w:rsid w:val="006932DE"/>
    <w:rsid w:val="007767B5"/>
    <w:rsid w:val="00796861"/>
    <w:rsid w:val="007B79A8"/>
    <w:rsid w:val="007C71C5"/>
    <w:rsid w:val="0083175B"/>
    <w:rsid w:val="008A3C03"/>
    <w:rsid w:val="008A620A"/>
    <w:rsid w:val="00904A68"/>
    <w:rsid w:val="0093040F"/>
    <w:rsid w:val="009A5DCC"/>
    <w:rsid w:val="009D7D4C"/>
    <w:rsid w:val="00A251CA"/>
    <w:rsid w:val="00A723D6"/>
    <w:rsid w:val="00A73792"/>
    <w:rsid w:val="00A75FEA"/>
    <w:rsid w:val="00BC26C9"/>
    <w:rsid w:val="00CF770F"/>
    <w:rsid w:val="00D128DB"/>
    <w:rsid w:val="00D46685"/>
    <w:rsid w:val="00E63752"/>
    <w:rsid w:val="00E83E14"/>
    <w:rsid w:val="00E96DD1"/>
    <w:rsid w:val="00F455BD"/>
    <w:rsid w:val="00FF0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1E54A-3614-4841-82A2-0127D38E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0F"/>
    <w:pPr>
      <w:spacing w:line="240" w:lineRule="auto"/>
    </w:pPr>
  </w:style>
  <w:style w:type="paragraph" w:styleId="Heading1">
    <w:name w:val="heading 1"/>
    <w:basedOn w:val="Normal"/>
    <w:next w:val="Normal"/>
    <w:link w:val="Heading1Char"/>
    <w:uiPriority w:val="9"/>
    <w:qFormat/>
    <w:rsid w:val="00A73792"/>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73792"/>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92"/>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A73792"/>
    <w:rPr>
      <w:rFonts w:asciiTheme="majorHAnsi" w:eastAsiaTheme="majorEastAsia" w:hAnsiTheme="majorHAnsi" w:cstheme="majorBidi"/>
      <w:color w:val="1F4E79" w:themeColor="accent1" w:themeShade="80"/>
      <w:sz w:val="26"/>
      <w:szCs w:val="26"/>
    </w:rPr>
  </w:style>
  <w:style w:type="paragraph" w:styleId="ListParagraph">
    <w:name w:val="List Paragraph"/>
    <w:basedOn w:val="Normal"/>
    <w:uiPriority w:val="72"/>
    <w:qFormat/>
    <w:rsid w:val="00E96DD1"/>
    <w:pPr>
      <w:ind w:left="720"/>
      <w:contextualSpacing/>
    </w:pPr>
  </w:style>
  <w:style w:type="paragraph" w:customStyle="1" w:styleId="BodyBullet">
    <w:name w:val="Body Bullet"/>
    <w:basedOn w:val="ListParagraph"/>
    <w:qFormat/>
    <w:rsid w:val="0030722F"/>
    <w:pPr>
      <w:numPr>
        <w:numId w:val="3"/>
      </w:numPr>
      <w:spacing w:before="120" w:after="120" w:line="240" w:lineRule="atLeast"/>
      <w:contextualSpacing w:val="0"/>
    </w:pPr>
    <w:rPr>
      <w:rFonts w:cstheme="minorHAnsi"/>
      <w:color w:val="27291C"/>
    </w:rPr>
  </w:style>
  <w:style w:type="paragraph" w:styleId="Header">
    <w:name w:val="header"/>
    <w:basedOn w:val="Normal"/>
    <w:link w:val="HeaderChar"/>
    <w:uiPriority w:val="99"/>
    <w:unhideWhenUsed/>
    <w:rsid w:val="009A5DCC"/>
    <w:pPr>
      <w:tabs>
        <w:tab w:val="center" w:pos="4513"/>
        <w:tab w:val="right" w:pos="9026"/>
      </w:tabs>
      <w:spacing w:after="0"/>
    </w:pPr>
  </w:style>
  <w:style w:type="character" w:customStyle="1" w:styleId="HeaderChar">
    <w:name w:val="Header Char"/>
    <w:basedOn w:val="DefaultParagraphFont"/>
    <w:link w:val="Header"/>
    <w:uiPriority w:val="99"/>
    <w:rsid w:val="009A5DCC"/>
  </w:style>
  <w:style w:type="paragraph" w:styleId="Footer">
    <w:name w:val="footer"/>
    <w:basedOn w:val="Normal"/>
    <w:link w:val="FooterChar"/>
    <w:uiPriority w:val="99"/>
    <w:unhideWhenUsed/>
    <w:rsid w:val="009A5DCC"/>
    <w:pPr>
      <w:tabs>
        <w:tab w:val="center" w:pos="4513"/>
        <w:tab w:val="right" w:pos="9026"/>
      </w:tabs>
      <w:spacing w:after="0"/>
    </w:pPr>
  </w:style>
  <w:style w:type="character" w:customStyle="1" w:styleId="FooterChar">
    <w:name w:val="Footer Char"/>
    <w:basedOn w:val="DefaultParagraphFont"/>
    <w:link w:val="Footer"/>
    <w:uiPriority w:val="99"/>
    <w:rsid w:val="009A5DCC"/>
  </w:style>
  <w:style w:type="table" w:styleId="TableGrid">
    <w:name w:val="Table Grid"/>
    <w:basedOn w:val="TableNormal"/>
    <w:uiPriority w:val="39"/>
    <w:rsid w:val="007C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040F"/>
    <w:rPr>
      <w:color w:val="0000FF"/>
      <w:u w:val="single"/>
    </w:rPr>
  </w:style>
  <w:style w:type="paragraph" w:customStyle="1" w:styleId="ColorfulList-Accent11">
    <w:name w:val="Colorful List - Accent 11"/>
    <w:basedOn w:val="Normal"/>
    <w:uiPriority w:val="34"/>
    <w:qFormat/>
    <w:rsid w:val="0093040F"/>
    <w:pPr>
      <w:spacing w:after="200"/>
      <w:ind w:left="720"/>
      <w:contextualSpacing/>
    </w:pPr>
    <w:rPr>
      <w:rFonts w:ascii="Cambria" w:eastAsia="MS Mincho" w:hAnsi="Cambria" w:cs="Times New Roman"/>
      <w:sz w:val="24"/>
      <w:szCs w:val="24"/>
      <w:lang w:val="en-US" w:eastAsia="ja-JP"/>
    </w:rPr>
  </w:style>
  <w:style w:type="character" w:styleId="FollowedHyperlink">
    <w:name w:val="FollowedHyperlink"/>
    <w:basedOn w:val="DefaultParagraphFont"/>
    <w:uiPriority w:val="99"/>
    <w:semiHidden/>
    <w:unhideWhenUsed/>
    <w:rsid w:val="00E63752"/>
    <w:rPr>
      <w:color w:val="954F72" w:themeColor="followedHyperlink"/>
      <w:u w:val="single"/>
    </w:rPr>
  </w:style>
  <w:style w:type="paragraph" w:styleId="FootnoteText">
    <w:name w:val="footnote text"/>
    <w:basedOn w:val="Normal"/>
    <w:link w:val="FootnoteTextChar"/>
    <w:uiPriority w:val="99"/>
    <w:semiHidden/>
    <w:unhideWhenUsed/>
    <w:rsid w:val="0042153C"/>
    <w:pPr>
      <w:spacing w:after="0"/>
    </w:pPr>
    <w:rPr>
      <w:sz w:val="20"/>
      <w:szCs w:val="20"/>
    </w:rPr>
  </w:style>
  <w:style w:type="character" w:customStyle="1" w:styleId="FootnoteTextChar">
    <w:name w:val="Footnote Text Char"/>
    <w:basedOn w:val="DefaultParagraphFont"/>
    <w:link w:val="FootnoteText"/>
    <w:uiPriority w:val="99"/>
    <w:semiHidden/>
    <w:rsid w:val="0042153C"/>
    <w:rPr>
      <w:sz w:val="20"/>
      <w:szCs w:val="20"/>
    </w:rPr>
  </w:style>
  <w:style w:type="character" w:styleId="FootnoteReference">
    <w:name w:val="footnote reference"/>
    <w:basedOn w:val="DefaultParagraphFont"/>
    <w:uiPriority w:val="99"/>
    <w:semiHidden/>
    <w:unhideWhenUsed/>
    <w:rsid w:val="00421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fat.gov.au/international-relations/security/sanctions/Pages/consolidated-list" TargetMode="External"/><Relationship Id="rId4" Type="http://schemas.openxmlformats.org/officeDocument/2006/relationships/settings" Target="settings.xml"/><Relationship Id="rId9" Type="http://schemas.openxmlformats.org/officeDocument/2006/relationships/hyperlink" Target="https://www.acnc.gov.au/for-charities/manage/managing-charity-risk/protecting-your-charity-against-risk-terrorism-financ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7D6E-5375-4EB7-B100-D57F8B1D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Kean</dc:creator>
  <cp:keywords/>
  <dc:description/>
  <cp:lastModifiedBy>Julie Kean</cp:lastModifiedBy>
  <cp:revision>13</cp:revision>
  <dcterms:created xsi:type="dcterms:W3CDTF">2020-11-05T23:00:00Z</dcterms:created>
  <dcterms:modified xsi:type="dcterms:W3CDTF">2021-08-03T05:00:00Z</dcterms:modified>
</cp:coreProperties>
</file>